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72" w:rsidRPr="00D02F72" w:rsidRDefault="00D02F72" w:rsidP="00D02F72">
      <w:pPr>
        <w:keepNext/>
        <w:numPr>
          <w:ilvl w:val="1"/>
          <w:numId w:val="0"/>
        </w:numPr>
        <w:tabs>
          <w:tab w:val="left" w:pos="1134"/>
        </w:tabs>
        <w:spacing w:before="600" w:after="400" w:line="300" w:lineRule="exact"/>
        <w:ind w:left="1134" w:hanging="1134"/>
        <w:outlineLvl w:val="1"/>
        <w:rPr>
          <w:rFonts w:ascii="Arial Black" w:hAnsi="Arial Black" w:cs="Times New Roman"/>
          <w:b/>
          <w:bCs/>
          <w:iCs/>
          <w:noProof/>
          <w:color w:val="4F6228"/>
          <w:sz w:val="28"/>
          <w:szCs w:val="28"/>
          <w:lang w:val="mk-MK" w:eastAsia="en-GB"/>
        </w:rPr>
      </w:pPr>
      <w:bookmarkStart w:id="0" w:name="_Toc382344107"/>
      <w:r w:rsidRPr="00D02F72">
        <w:rPr>
          <w:rFonts w:ascii="Arial Black" w:hAnsi="Arial Black" w:cs="Times New Roman"/>
          <w:b/>
          <w:bCs/>
          <w:iCs/>
          <w:noProof/>
          <w:color w:val="4F6228"/>
          <w:sz w:val="28"/>
          <w:szCs w:val="28"/>
          <w:lang w:val="mk-MK" w:eastAsia="en-GB"/>
        </w:rPr>
        <w:t>Локален инвентар на стакленички гасови</w:t>
      </w:r>
      <w:bookmarkEnd w:id="0"/>
    </w:p>
    <w:p w:rsidR="00D02F72" w:rsidRPr="00D02F72" w:rsidRDefault="00D02F72" w:rsidP="00D02F72">
      <w:pPr>
        <w:keepNext/>
        <w:numPr>
          <w:ilvl w:val="2"/>
          <w:numId w:val="0"/>
        </w:numPr>
        <w:tabs>
          <w:tab w:val="left" w:pos="1134"/>
        </w:tabs>
        <w:spacing w:before="400" w:line="300" w:lineRule="exact"/>
        <w:ind w:left="1134" w:hanging="1134"/>
        <w:outlineLvl w:val="2"/>
        <w:rPr>
          <w:rFonts w:ascii="Arial Black" w:hAnsi="Arial Black" w:cs="Times New Roman"/>
          <w:b/>
          <w:bCs/>
          <w:noProof/>
          <w:color w:val="4F6228"/>
          <w:lang w:val="mk-MK" w:eastAsia="en-GB"/>
        </w:rPr>
      </w:pPr>
      <w:bookmarkStart w:id="1" w:name="_Toc382344108"/>
      <w:r w:rsidRPr="00D02F72">
        <w:rPr>
          <w:rFonts w:ascii="Arial Black" w:hAnsi="Arial Black" w:cs="Times New Roman"/>
          <w:b/>
          <w:bCs/>
          <w:color w:val="4F6228"/>
          <w:lang w:val="mk-MK" w:eastAsia="en-GB"/>
        </w:rPr>
        <w:t>Инвентар на стакленички гасови</w:t>
      </w:r>
      <w:bookmarkEnd w:id="1"/>
    </w:p>
    <w:p w:rsidR="00D02F72" w:rsidRPr="00D02F72" w:rsidRDefault="00D02F72" w:rsidP="00D02F72">
      <w:pPr>
        <w:spacing w:line="300" w:lineRule="exact"/>
        <w:jc w:val="both"/>
        <w:rPr>
          <w:rFonts w:ascii="Arial" w:eastAsia="Calibri" w:hAnsi="Arial" w:cs="Arial"/>
          <w:lang w:val="mk-MK"/>
        </w:rPr>
      </w:pPr>
      <w:r w:rsidRPr="00D02F72">
        <w:rPr>
          <w:rFonts w:ascii="Arial" w:eastAsia="Calibri" w:hAnsi="Arial" w:cs="Arial"/>
          <w:lang w:val="mk-MK"/>
        </w:rPr>
        <w:t>Во согласност со научните истражувања на светско ниво е докажано дека емисиите на стакленички гасови кои произлегуваат од различни човечки активности имаат влијание врз глобалната клима. Кон ова допринесуваат активностите кои се изведуваат на локално ниво односно во општините, поради што е важно да се направи идентификација на изворите на овие гасови во рамиките на општината. Инвентарот на стакленички гасови едноставно преставува локализирање на извориштата на стакленички гасови и квантифицирање на емисиите кои произлегуваат од нив преку точно утврдена методологија за нивна пресметка.</w:t>
      </w:r>
    </w:p>
    <w:p w:rsidR="00D02F72" w:rsidRPr="00D02F72" w:rsidRDefault="00D02F72" w:rsidP="00D02F72">
      <w:pPr>
        <w:spacing w:line="300" w:lineRule="exact"/>
        <w:jc w:val="both"/>
        <w:rPr>
          <w:rFonts w:ascii="Arial" w:eastAsia="Calibri" w:hAnsi="Arial" w:cs="Arial"/>
          <w:lang w:val="mk-MK"/>
        </w:rPr>
      </w:pPr>
      <w:r w:rsidRPr="00D02F72">
        <w:rPr>
          <w:rFonts w:ascii="Arial" w:eastAsia="Calibri" w:hAnsi="Arial" w:cs="Arial"/>
          <w:lang w:val="mk-MK"/>
        </w:rPr>
        <w:t>Локалната самоуправа може да ги искористи овие податоци за да оцени колку се ефективни мерките кои ги превземаат за намалување на стакленичките гасови. Точни, комплетни, релевантни и конзистентни мерења или пресметки на стакленичките гасови ќе и овозможат на општината да направи соодветни стратегии за борба со климатските</w:t>
      </w:r>
    </w:p>
    <w:p w:rsidR="00D02F72" w:rsidRPr="00D02F72" w:rsidRDefault="00D02F72" w:rsidP="00D02F72">
      <w:pPr>
        <w:spacing w:line="300" w:lineRule="exact"/>
        <w:jc w:val="both"/>
        <w:rPr>
          <w:rFonts w:ascii="Arial" w:eastAsia="Calibri" w:hAnsi="Arial" w:cs="Arial"/>
          <w:lang w:val="mk-MK"/>
        </w:rPr>
      </w:pPr>
      <w:r w:rsidRPr="00D02F72">
        <w:rPr>
          <w:rFonts w:ascii="Arial" w:eastAsia="Calibri" w:hAnsi="Arial" w:cs="Arial"/>
          <w:lang w:val="mk-MK"/>
        </w:rPr>
        <w:t>промени кои најефективно би ги таргетирале извориштата на ваквите емисии.</w:t>
      </w:r>
    </w:p>
    <w:p w:rsidR="00D02F72" w:rsidRPr="00D02F72" w:rsidRDefault="00D02F72" w:rsidP="00D02F72">
      <w:pPr>
        <w:spacing w:line="300" w:lineRule="exact"/>
        <w:jc w:val="both"/>
        <w:rPr>
          <w:rFonts w:ascii="Arial" w:eastAsia="Calibri" w:hAnsi="Arial" w:cs="Arial"/>
          <w:lang w:val="mk-MK"/>
        </w:rPr>
      </w:pPr>
      <w:r w:rsidRPr="00D02F72">
        <w:rPr>
          <w:rFonts w:ascii="Arial" w:eastAsia="Calibri" w:hAnsi="Arial" w:cs="Arial"/>
          <w:lang w:val="mk-MK"/>
        </w:rPr>
        <w:t>Придобивки од правење на инвентар на стакленички гасови:</w:t>
      </w:r>
    </w:p>
    <w:p w:rsidR="00D02F72" w:rsidRPr="00D02F72" w:rsidRDefault="00D02F72" w:rsidP="00D02F72">
      <w:pPr>
        <w:spacing w:line="300" w:lineRule="exact"/>
        <w:jc w:val="both"/>
        <w:rPr>
          <w:rFonts w:ascii="Arial" w:eastAsia="Calibri" w:hAnsi="Arial" w:cs="Arial"/>
          <w:lang w:val="mk-MK"/>
        </w:rPr>
      </w:pPr>
      <w:r w:rsidRPr="00D02F72">
        <w:rPr>
          <w:rFonts w:ascii="Arial" w:eastAsia="Calibri" w:hAnsi="Arial" w:cs="DejaVuSans-Bold"/>
          <w:b/>
          <w:bCs/>
          <w:lang w:val="mk-MK"/>
        </w:rPr>
        <w:t xml:space="preserve">Менаџирање со ризици: </w:t>
      </w:r>
      <w:r w:rsidRPr="00D02F72">
        <w:rPr>
          <w:rFonts w:ascii="Arial" w:eastAsia="Calibri" w:hAnsi="Arial" w:cs="Arial"/>
          <w:lang w:val="mk-MK"/>
        </w:rPr>
        <w:t>Доброволното известување за емисиите на стакленичките гасови, им помага на локалните власти и организации, поуспешно да се справуваат со ризиците од климатските промени, преку преземање на рани активности за намалување на емисиите на стакленички гасови.</w:t>
      </w:r>
    </w:p>
    <w:p w:rsidR="00D02F72" w:rsidRPr="00D02F72" w:rsidRDefault="00D02F72" w:rsidP="00D02F72">
      <w:pPr>
        <w:spacing w:line="300" w:lineRule="exact"/>
        <w:jc w:val="both"/>
        <w:rPr>
          <w:rFonts w:ascii="Arial" w:eastAsia="Calibri" w:hAnsi="Arial" w:cs="Arial"/>
          <w:lang w:val="mk-MK"/>
        </w:rPr>
      </w:pPr>
      <w:r w:rsidRPr="00D02F72">
        <w:rPr>
          <w:rFonts w:ascii="Arial" w:eastAsia="Calibri" w:hAnsi="Arial" w:cs="DejaVuSans-Bold"/>
          <w:b/>
          <w:bCs/>
          <w:lang w:val="mk-MK"/>
        </w:rPr>
        <w:t xml:space="preserve">Адресирање на неефикасностите: </w:t>
      </w:r>
      <w:r w:rsidRPr="00D02F72">
        <w:rPr>
          <w:rFonts w:ascii="Arial" w:eastAsia="Calibri" w:hAnsi="Arial" w:cs="Arial"/>
          <w:lang w:val="mk-MK"/>
        </w:rPr>
        <w:t>Пресметувањето на емисиите на стакленички гасови, може да им помогне на општините да ја зголемат ефикасноста при намалување на емисиите, преку точно таргетирање на изворите, воведување на нови иновативни технологии или користење на методи кои се по еколошки.</w:t>
      </w:r>
    </w:p>
    <w:p w:rsidR="00D02F72" w:rsidRPr="00D02F72" w:rsidRDefault="00D02F72" w:rsidP="00D02F72">
      <w:pPr>
        <w:spacing w:line="300" w:lineRule="exact"/>
        <w:jc w:val="both"/>
        <w:rPr>
          <w:rFonts w:ascii="Arial" w:eastAsia="Calibri" w:hAnsi="Arial" w:cs="Arial"/>
          <w:lang w:val="mk-MK"/>
        </w:rPr>
      </w:pPr>
      <w:r w:rsidRPr="00D02F72">
        <w:rPr>
          <w:rFonts w:ascii="Arial" w:eastAsia="Calibri" w:hAnsi="Arial" w:cs="DejaVuSans-Bold"/>
          <w:b/>
          <w:bCs/>
          <w:lang w:val="mk-MK"/>
        </w:rPr>
        <w:t xml:space="preserve">Едукација и информирање на засегнатите страни: </w:t>
      </w:r>
      <w:r w:rsidRPr="00D02F72">
        <w:rPr>
          <w:rFonts w:ascii="Arial" w:eastAsia="Calibri" w:hAnsi="Arial" w:cs="Arial"/>
          <w:lang w:val="mk-MK"/>
        </w:rPr>
        <w:t>Преку подготвување на годишен инвентар на стакленички гасови, може да се помогне во информирање на управителниот одбор во општината, да се едуцира приватниот сектор и јавноста за активностите кои допринесуваат кон емисија на стакленичките гасови.</w:t>
      </w:r>
    </w:p>
    <w:p w:rsidR="00D02F72" w:rsidRPr="00D02F72" w:rsidRDefault="00D02F72" w:rsidP="00D02F72">
      <w:pPr>
        <w:keepNext/>
        <w:numPr>
          <w:ilvl w:val="3"/>
          <w:numId w:val="0"/>
        </w:numPr>
        <w:spacing w:before="200" w:line="300" w:lineRule="exact"/>
        <w:ind w:left="1134" w:hanging="1134"/>
        <w:outlineLvl w:val="3"/>
        <w:rPr>
          <w:rFonts w:ascii="Arial" w:hAnsi="Arial" w:cs="Arial"/>
          <w:bCs/>
          <w:color w:val="4F6228"/>
          <w:lang w:val="mk-MK"/>
          <w14:textFill>
            <w14:solidFill>
              <w14:srgbClr w14:val="4F6228">
                <w14:lumMod w14:val="50000"/>
              </w14:srgbClr>
            </w14:solidFill>
          </w14:textFill>
        </w:rPr>
      </w:pPr>
      <w:r w:rsidRPr="00D02F72">
        <w:rPr>
          <w:rFonts w:ascii="Arial" w:hAnsi="Arial" w:cs="Arial"/>
          <w:bCs/>
          <w:color w:val="4F6228"/>
          <w:lang w:val="mk-MK"/>
          <w14:textFill>
            <w14:solidFill>
              <w14:srgbClr w14:val="4F6228">
                <w14:lumMod w14:val="50000"/>
              </w14:srgbClr>
            </w14:solidFill>
          </w14:textFill>
        </w:rPr>
        <w:t>Процес на подготовка на инвентарот на стакленички гасови за општините</w:t>
      </w:r>
    </w:p>
    <w:p w:rsidR="00D02F72" w:rsidRPr="00D02F72" w:rsidRDefault="00D02F72" w:rsidP="00D02F72">
      <w:pPr>
        <w:spacing w:line="300" w:lineRule="exact"/>
        <w:jc w:val="both"/>
        <w:rPr>
          <w:rFonts w:ascii="Arial" w:eastAsia="Calibri" w:hAnsi="Arial" w:cs="Arial"/>
          <w:lang w:val="mk-MK"/>
        </w:rPr>
      </w:pPr>
      <w:r w:rsidRPr="00D02F72">
        <w:rPr>
          <w:rFonts w:ascii="Arial" w:eastAsia="Calibri" w:hAnsi="Arial" w:cs="Arial"/>
          <w:lang w:val="mk-MK"/>
        </w:rPr>
        <w:t>Подготовката на инвентар на стакленички гасови, генерално се изведува во три фази:</w:t>
      </w:r>
    </w:p>
    <w:p w:rsidR="00D02F72" w:rsidRPr="00D02F72" w:rsidRDefault="00D02F72" w:rsidP="00D02F72">
      <w:pPr>
        <w:spacing w:line="300" w:lineRule="exact"/>
        <w:jc w:val="both"/>
        <w:rPr>
          <w:rFonts w:ascii="Arial" w:eastAsia="Calibri" w:hAnsi="Arial" w:cs="Arial"/>
          <w:lang w:val="mk-MK"/>
        </w:rPr>
      </w:pPr>
      <w:r w:rsidRPr="00D02F72">
        <w:rPr>
          <w:rFonts w:ascii="Arial" w:eastAsia="Calibri" w:hAnsi="Arial" w:cs="DejaVuSans-Bold"/>
          <w:b/>
          <w:bCs/>
          <w:lang w:val="mk-MK"/>
        </w:rPr>
        <w:t xml:space="preserve">Фаза 1: </w:t>
      </w:r>
      <w:r w:rsidRPr="00D02F72">
        <w:rPr>
          <w:rFonts w:ascii="Arial" w:eastAsia="Calibri" w:hAnsi="Arial" w:cs="Arial"/>
          <w:lang w:val="mk-MK"/>
        </w:rPr>
        <w:t>Идентификација на изворите на емисиите на стакленички гасови и собирање на податоците (рата на активност);</w:t>
      </w:r>
    </w:p>
    <w:p w:rsidR="00D02F72" w:rsidRPr="00D02F72" w:rsidRDefault="00D02F72" w:rsidP="00D02F72">
      <w:pPr>
        <w:spacing w:line="300" w:lineRule="exact"/>
        <w:jc w:val="both"/>
        <w:rPr>
          <w:rFonts w:ascii="Arial" w:eastAsia="Calibri" w:hAnsi="Arial" w:cs="Arial"/>
          <w:lang w:val="mk-MK"/>
        </w:rPr>
      </w:pPr>
      <w:r w:rsidRPr="00D02F72">
        <w:rPr>
          <w:rFonts w:ascii="Arial" w:eastAsia="Calibri" w:hAnsi="Arial" w:cs="DejaVuSans-Bold"/>
          <w:b/>
          <w:bCs/>
          <w:lang w:val="mk-MK"/>
        </w:rPr>
        <w:lastRenderedPageBreak/>
        <w:t xml:space="preserve">Фаза 2: </w:t>
      </w:r>
      <w:r w:rsidRPr="00D02F72">
        <w:rPr>
          <w:rFonts w:ascii="Arial" w:eastAsia="Calibri" w:hAnsi="Arial" w:cs="Arial"/>
          <w:lang w:val="mk-MK"/>
        </w:rPr>
        <w:t>Пресметка на емисиите преку примена на соодветни емисиони фактори;</w:t>
      </w:r>
    </w:p>
    <w:p w:rsidR="00D02F72" w:rsidRPr="00D02F72" w:rsidRDefault="00D02F72" w:rsidP="00D02F72">
      <w:pPr>
        <w:spacing w:line="300" w:lineRule="exact"/>
        <w:jc w:val="both"/>
        <w:rPr>
          <w:rFonts w:ascii="Arial" w:eastAsia="Calibri" w:hAnsi="Arial" w:cs="Arial"/>
          <w:lang w:val="mk-MK"/>
        </w:rPr>
      </w:pPr>
      <w:r w:rsidRPr="00D02F72">
        <w:rPr>
          <w:rFonts w:ascii="Arial" w:eastAsia="Calibri" w:hAnsi="Arial" w:cs="DejaVuSans-Bold"/>
          <w:b/>
          <w:bCs/>
          <w:lang w:val="mk-MK"/>
        </w:rPr>
        <w:t xml:space="preserve">Фаза 3: </w:t>
      </w:r>
      <w:r w:rsidRPr="00D02F72">
        <w:rPr>
          <w:rFonts w:ascii="Arial" w:eastAsia="Calibri" w:hAnsi="Arial" w:cs="Arial"/>
          <w:lang w:val="mk-MK"/>
        </w:rPr>
        <w:t>Правење извештај за пресметаните емисии.</w:t>
      </w:r>
    </w:p>
    <w:p w:rsidR="00D02F72" w:rsidRDefault="00D02F72" w:rsidP="00D02F72">
      <w:pPr>
        <w:spacing w:line="300" w:lineRule="exact"/>
        <w:jc w:val="both"/>
        <w:rPr>
          <w:rFonts w:ascii="Arial" w:eastAsia="Calibri" w:hAnsi="Arial" w:cs="Arial"/>
          <w:lang w:val="mk-MK"/>
        </w:rPr>
      </w:pPr>
      <w:r w:rsidRPr="00D02F72">
        <w:rPr>
          <w:rFonts w:ascii="Arial" w:eastAsia="Calibri" w:hAnsi="Arial" w:cs="Arial"/>
          <w:lang w:val="mk-MK"/>
        </w:rPr>
        <w:t xml:space="preserve">Во рамките на проектот на УСАИД </w:t>
      </w:r>
      <w:r w:rsidRPr="00D02F72">
        <w:rPr>
          <w:rFonts w:ascii="Arial" w:eastAsia="Calibri" w:hAnsi="Arial" w:cs="DejaVuSans-Oblique"/>
          <w:i/>
          <w:iCs/>
          <w:lang w:val="mk-MK"/>
        </w:rPr>
        <w:t xml:space="preserve">„Општински стратегии за климатски промени“ </w:t>
      </w:r>
      <w:r w:rsidRPr="00D02F72">
        <w:rPr>
          <w:rFonts w:ascii="Arial" w:eastAsia="Calibri" w:hAnsi="Arial" w:cs="Arial"/>
          <w:lang w:val="mk-MK"/>
        </w:rPr>
        <w:t>спроведуван од Милиеуконтакт Македонија, беше воведена и</w:t>
      </w:r>
      <w:r w:rsidRPr="00D02F72">
        <w:rPr>
          <w:rFonts w:ascii="Arial" w:eastAsia="Calibri" w:hAnsi="Arial" w:cs="DejaVuSans-Oblique"/>
          <w:i/>
          <w:iCs/>
          <w:lang w:val="mk-MK"/>
        </w:rPr>
        <w:t xml:space="preserve"> </w:t>
      </w:r>
      <w:r w:rsidRPr="00D02F72">
        <w:rPr>
          <w:rFonts w:ascii="Arial" w:eastAsia="Calibri" w:hAnsi="Arial" w:cs="Arial"/>
          <w:lang w:val="mk-MK"/>
        </w:rPr>
        <w:t>фаза на едукација на претставниците на општините, за подготовка на</w:t>
      </w:r>
      <w:r w:rsidRPr="00D02F72">
        <w:rPr>
          <w:rFonts w:ascii="Arial" w:eastAsia="Calibri" w:hAnsi="Arial" w:cs="DejaVuSans-Oblique"/>
          <w:i/>
          <w:iCs/>
          <w:lang w:val="mk-MK"/>
        </w:rPr>
        <w:t xml:space="preserve"> </w:t>
      </w:r>
      <w:r w:rsidRPr="00D02F72">
        <w:rPr>
          <w:rFonts w:ascii="Arial" w:eastAsia="Calibri" w:hAnsi="Arial" w:cs="Arial"/>
          <w:lang w:val="mk-MK"/>
        </w:rPr>
        <w:t>инвентар на стакленички гасови. Едукацијата беше изведена преку</w:t>
      </w:r>
      <w:r w:rsidRPr="00D02F72">
        <w:rPr>
          <w:rFonts w:ascii="Arial" w:eastAsia="Calibri" w:hAnsi="Arial" w:cs="DejaVuSans-Oblique"/>
          <w:i/>
          <w:iCs/>
          <w:lang w:val="mk-MK"/>
        </w:rPr>
        <w:t xml:space="preserve"> </w:t>
      </w:r>
      <w:r w:rsidRPr="00D02F72">
        <w:rPr>
          <w:rFonts w:ascii="Arial" w:eastAsia="Calibri" w:hAnsi="Arial" w:cs="Arial"/>
          <w:lang w:val="mk-MK"/>
        </w:rPr>
        <w:t>тренинг сесии на претставниците од општината и невладините</w:t>
      </w:r>
      <w:r w:rsidRPr="00D02F72">
        <w:rPr>
          <w:rFonts w:ascii="Arial" w:eastAsia="Calibri" w:hAnsi="Arial" w:cs="DejaVuSans-Oblique"/>
          <w:i/>
          <w:iCs/>
          <w:lang w:val="mk-MK"/>
        </w:rPr>
        <w:t xml:space="preserve"> </w:t>
      </w:r>
      <w:r w:rsidRPr="00D02F72">
        <w:rPr>
          <w:rFonts w:ascii="Arial" w:eastAsia="Calibri" w:hAnsi="Arial" w:cs="Arial"/>
          <w:lang w:val="mk-MK"/>
        </w:rPr>
        <w:t>организации кои го координираа процесот на „Зелена агенда“ во</w:t>
      </w:r>
      <w:r w:rsidRPr="00D02F72">
        <w:rPr>
          <w:rFonts w:ascii="Arial" w:eastAsia="Calibri" w:hAnsi="Arial" w:cs="DejaVuSans-Oblique"/>
          <w:i/>
          <w:iCs/>
          <w:lang w:val="mk-MK"/>
        </w:rPr>
        <w:t xml:space="preserve"> </w:t>
      </w:r>
      <w:r w:rsidRPr="00D02F72">
        <w:rPr>
          <w:rFonts w:ascii="Arial" w:eastAsia="Calibri" w:hAnsi="Arial" w:cs="Arial"/>
          <w:lang w:val="mk-MK"/>
        </w:rPr>
        <w:t>општината. Процесот на едукација понатаму продолжи преку пренесување на знаењето во локалните работни групи кои беа задолжени за собирање</w:t>
      </w:r>
      <w:r w:rsidRPr="00D02F72">
        <w:rPr>
          <w:rFonts w:ascii="Arial" w:eastAsia="Calibri" w:hAnsi="Arial" w:cs="DejaVuSans-Oblique"/>
          <w:i/>
          <w:iCs/>
          <w:lang w:val="mk-MK"/>
        </w:rPr>
        <w:t xml:space="preserve"> </w:t>
      </w:r>
      <w:r w:rsidRPr="00D02F72">
        <w:rPr>
          <w:rFonts w:ascii="Arial" w:eastAsia="Calibri" w:hAnsi="Arial" w:cs="Arial"/>
          <w:lang w:val="mk-MK"/>
        </w:rPr>
        <w:t>на податоци.</w:t>
      </w:r>
    </w:p>
    <w:p w:rsidR="00D02F72" w:rsidRPr="00D02F72" w:rsidRDefault="00D02F72" w:rsidP="00D02F72">
      <w:pPr>
        <w:spacing w:line="300" w:lineRule="exact"/>
        <w:jc w:val="both"/>
        <w:rPr>
          <w:rFonts w:ascii="Arial" w:eastAsia="Calibri" w:hAnsi="Arial" w:cs="Arial"/>
          <w:lang w:val="mk-MK"/>
        </w:rPr>
      </w:pPr>
      <w:bookmarkStart w:id="2" w:name="_GoBack"/>
      <w:bookmarkEnd w:id="2"/>
      <w:r w:rsidRPr="00D02F72">
        <w:rPr>
          <w:rFonts w:ascii="Arial Narrow" w:hAnsi="Arial Narrow" w:cs="DejaVuSans"/>
          <w:sz w:val="28"/>
          <w:szCs w:val="28"/>
          <w:lang w:val="mk-MK"/>
        </w:rPr>
        <w:t>Податоците се собирани преку прашалник кој претставува водич за работните групи и содржи насоки за типот на податоци кои треба да се соберат/ Исто така, се доставувани официјални барања до општината и приватниот сектор, прашалници и анкети со жителите на општината и приватниот сектор и од национални податочни бази. За изработка на инвентарот е креирана алатка (во MS Excel) во која се предефинирани емисионите фактори за секој вид на активност во општината.</w:t>
      </w:r>
    </w:p>
    <w:p w:rsidR="00D02F72" w:rsidRPr="00D02F72" w:rsidRDefault="00D02F72" w:rsidP="00D02F72">
      <w:pPr>
        <w:keepNext/>
        <w:tabs>
          <w:tab w:val="left" w:pos="1701"/>
        </w:tabs>
        <w:spacing w:before="120" w:after="120" w:line="240" w:lineRule="auto"/>
        <w:ind w:left="1701" w:right="567" w:hanging="1133"/>
        <w:rPr>
          <w:rFonts w:ascii="StobiSerifIt Regular" w:hAnsi="StobiSerifIt Regular"/>
          <w:b/>
          <w:bCs/>
          <w:i/>
          <w:noProof/>
          <w:color w:val="4F6228" w:themeColor="accent3" w:themeShade="80"/>
          <w:lang w:val="mk-MK" w:eastAsia="en-GB"/>
        </w:rPr>
      </w:pPr>
      <w:r w:rsidRPr="00D02F72">
        <w:rPr>
          <w:rFonts w:ascii="StobiSerifIt Regular" w:hAnsi="StobiSerifIt Regular"/>
          <w:i/>
          <w:color w:val="4F6228" w:themeColor="accent3" w:themeShade="80"/>
          <w:lang w:val="mk-MK" w:eastAsia="en-GB"/>
        </w:rPr>
        <w:t>Визуелен приказ на подготовката на инвентарот</w:t>
      </w:r>
    </w:p>
    <w:p w:rsidR="00D02F72" w:rsidRPr="00D02F72" w:rsidRDefault="00D02F72" w:rsidP="00D02F72">
      <w:pPr>
        <w:spacing w:before="120" w:after="120" w:line="360" w:lineRule="auto"/>
        <w:jc w:val="right"/>
        <w:rPr>
          <w:rFonts w:ascii="Times New Roman" w:hAnsi="Times New Roman"/>
          <w:noProof/>
          <w:sz w:val="24"/>
          <w:szCs w:val="24"/>
          <w:lang w:val="mk-MK" w:eastAsia="mk-MK"/>
        </w:rPr>
      </w:pPr>
      <w:r w:rsidRPr="00D02F72">
        <w:rPr>
          <w:rFonts w:ascii="Times New Roman" w:hAnsi="Times New Roman"/>
          <w:noProof/>
          <w:sz w:val="24"/>
          <w:szCs w:val="24"/>
        </w:rPr>
        <w:drawing>
          <wp:inline distT="0" distB="0" distL="0" distR="0" wp14:anchorId="546EFBCD" wp14:editId="40BECF40">
            <wp:extent cx="5828665" cy="341884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8665" cy="3418840"/>
                    </a:xfrm>
                    <a:prstGeom prst="rect">
                      <a:avLst/>
                    </a:prstGeom>
                    <a:noFill/>
                  </pic:spPr>
                </pic:pic>
              </a:graphicData>
            </a:graphic>
          </wp:inline>
        </w:drawing>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Пополнетиот прашалник, заедно со референците за собраните податоци, е доставен до проектниот експерт за климатски промени. Овие податоци понатаму се внесени во алатката за пресметување, за да се добијат конкретни бројки за количината на стакленички гасови која директно се емитува од различни активности во општината.</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lastRenderedPageBreak/>
        <w:t>На крајот на процесот е подготвен финален извештај во кој се наведени сите извори на емисии и е прикажано количеството на стакленички гасови во секој сектор одделно.</w:t>
      </w:r>
    </w:p>
    <w:p w:rsidR="00D02F72" w:rsidRPr="00D02F72" w:rsidRDefault="00D02F72" w:rsidP="00D02F72">
      <w:pPr>
        <w:keepNext/>
        <w:numPr>
          <w:ilvl w:val="2"/>
          <w:numId w:val="0"/>
        </w:numPr>
        <w:tabs>
          <w:tab w:val="left" w:pos="1134"/>
        </w:tabs>
        <w:spacing w:before="400" w:line="300" w:lineRule="exact"/>
        <w:ind w:left="1134" w:hanging="1134"/>
        <w:outlineLvl w:val="2"/>
        <w:rPr>
          <w:rFonts w:ascii="Arial Black" w:hAnsi="Arial Black" w:cs="Times New Roman"/>
          <w:b/>
          <w:bCs/>
          <w:noProof/>
          <w:color w:val="4F6228"/>
          <w:lang w:val="mk-MK" w:eastAsia="en-GB"/>
        </w:rPr>
      </w:pPr>
      <w:bookmarkStart w:id="3" w:name="_Toc382343187"/>
      <w:bookmarkStart w:id="4" w:name="_Toc382343488"/>
      <w:bookmarkStart w:id="5" w:name="_Toc382343800"/>
      <w:bookmarkStart w:id="6" w:name="_Toc382344109"/>
      <w:bookmarkStart w:id="7" w:name="_Toc382344110"/>
      <w:bookmarkEnd w:id="3"/>
      <w:bookmarkEnd w:id="4"/>
      <w:bookmarkEnd w:id="5"/>
      <w:bookmarkEnd w:id="6"/>
      <w:r w:rsidRPr="00D02F72">
        <w:rPr>
          <w:rFonts w:ascii="Arial Black" w:hAnsi="Arial Black" w:cs="Times New Roman"/>
          <w:b/>
          <w:bCs/>
          <w:color w:val="4F6228"/>
          <w:lang w:val="mk-MK" w:eastAsia="en-GB"/>
        </w:rPr>
        <w:t>Методологија</w:t>
      </w:r>
      <w:r w:rsidRPr="00D02F72">
        <w:rPr>
          <w:rFonts w:ascii="Arial Black" w:hAnsi="Arial Black" w:cs="Times New Roman"/>
          <w:b/>
          <w:bCs/>
          <w:noProof/>
          <w:color w:val="4F6228"/>
          <w:lang w:val="mk-MK" w:eastAsia="en-GB"/>
        </w:rPr>
        <w:t xml:space="preserve"> за пресметка на емисиите на стакленички гасови</w:t>
      </w:r>
      <w:bookmarkEnd w:id="7"/>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 xml:space="preserve">Генерално се потребни два вида на податоци кои се неопходни за пресметка на емисиите на стакленички гасови: </w:t>
      </w:r>
      <w:r w:rsidRPr="00D02F72">
        <w:rPr>
          <w:rFonts w:ascii="Arial Narrow" w:hAnsi="Arial Narrow" w:cs="DejaVuSans-Oblique"/>
          <w:i/>
          <w:iCs/>
          <w:sz w:val="28"/>
          <w:szCs w:val="28"/>
          <w:lang w:val="mk-MK"/>
        </w:rPr>
        <w:t xml:space="preserve">рата на активност </w:t>
      </w:r>
      <w:r w:rsidRPr="00D02F72">
        <w:rPr>
          <w:rFonts w:ascii="Arial Narrow" w:hAnsi="Arial Narrow" w:cs="DejaVuSans"/>
          <w:sz w:val="28"/>
          <w:szCs w:val="28"/>
          <w:lang w:val="mk-MK"/>
        </w:rPr>
        <w:t xml:space="preserve">и </w:t>
      </w:r>
      <w:r w:rsidRPr="00D02F72">
        <w:rPr>
          <w:rFonts w:ascii="Arial Narrow" w:hAnsi="Arial Narrow" w:cs="DejaVuSans-Oblique"/>
          <w:i/>
          <w:iCs/>
          <w:sz w:val="28"/>
          <w:szCs w:val="28"/>
          <w:lang w:val="mk-MK"/>
        </w:rPr>
        <w:t>емисионен фактор</w:t>
      </w:r>
      <w:r w:rsidRPr="00D02F72">
        <w:rPr>
          <w:rFonts w:ascii="Arial Narrow" w:hAnsi="Arial Narrow" w:cs="DejaVuSans"/>
          <w:sz w:val="28"/>
          <w:szCs w:val="28"/>
          <w:lang w:val="mk-MK"/>
        </w:rPr>
        <w:t>. Ратата на активност претставува величина која ќе го опише количеството на еден енергенс, продукт или било како квантитативно ќе го опише изворот на емисии на стакленички гасови и истата се однесува на интензитетот на процесот кој се истражува. На пример рата на активност за пресметка на емисиите од користење на ѓубрива на земјоделските почви, претставува количеството на искористено ѓубриво. Емисиониот фактор пак претставува веќе пресметан сооднос помеѓу количината на ратата на активност и емисиите на стакленички гасови. Емисионите фактори се научно определени преку директни мерења, лабораториски анализи или пресметки правени врз репрезентативни примероци. За пресметување на емисиите на  стакленичките гасови генерално се користи основната формулата:</w:t>
      </w:r>
    </w:p>
    <w:p w:rsidR="00D02F72" w:rsidRPr="00D02F72" w:rsidRDefault="00D02F72" w:rsidP="00D02F72">
      <w:pPr>
        <w:autoSpaceDE w:val="0"/>
        <w:autoSpaceDN w:val="0"/>
        <w:adjustRightInd w:val="0"/>
        <w:spacing w:after="120" w:line="240" w:lineRule="auto"/>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 xml:space="preserve">Емисии </w:t>
      </w:r>
      <w:r w:rsidRPr="00D02F72">
        <w:rPr>
          <w:rFonts w:ascii="Arial Narrow" w:hAnsi="Arial Narrow" w:cs="DejaVuSans"/>
          <w:sz w:val="28"/>
          <w:szCs w:val="28"/>
          <w:lang w:val="mk-MK"/>
        </w:rPr>
        <w:t xml:space="preserve">= </w:t>
      </w:r>
      <w:r w:rsidRPr="00D02F72">
        <w:rPr>
          <w:rFonts w:ascii="Arial Narrow" w:hAnsi="Arial Narrow" w:cs="DejaVuSans-Bold"/>
          <w:b/>
          <w:bCs/>
          <w:sz w:val="28"/>
          <w:szCs w:val="28"/>
          <w:lang w:val="mk-MK"/>
        </w:rPr>
        <w:t xml:space="preserve">Рата на активност </w:t>
      </w:r>
      <w:r w:rsidRPr="00D02F72">
        <w:rPr>
          <w:rFonts w:ascii="Arial Narrow" w:hAnsi="Arial Narrow" w:cs="DejaVuSans"/>
          <w:sz w:val="28"/>
          <w:szCs w:val="28"/>
          <w:lang w:val="mk-MK"/>
        </w:rPr>
        <w:t xml:space="preserve">Х </w:t>
      </w:r>
      <w:r w:rsidRPr="00D02F72">
        <w:rPr>
          <w:rFonts w:ascii="Arial Narrow" w:hAnsi="Arial Narrow" w:cs="DejaVuSans-Bold"/>
          <w:b/>
          <w:bCs/>
          <w:sz w:val="28"/>
          <w:szCs w:val="28"/>
          <w:lang w:val="mk-MK"/>
        </w:rPr>
        <w:t>Емисионен фактор</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Мора да се напомене дека оваа формула ја добива својата покомплексна форма во зависност од секторот во кој се работи, доколку постојат дополнителни коефициенти кои треба да се применат за да се пресмета ратата на активност или емисиониот фактор. Покомплексната форма на горенаведената равенка може да се добие и при примена на повисока методологија на пресметување (тиер). Инвентарите, во смисла на користење на повисока методологија, (тиер) со употреба на специфични емисиони фактори кои ги отсликуваат специфичните национални услови, а се базираат на употреба на информации кои се специфични за општината или земјата (познавање на типот на процеси и специфичните услови во кои тие се одвиваат, квалитет на горива што се употребуваат и сл).</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 xml:space="preserve">Методологијата за пресметка на емисиите е во согласност со Прирачниците на ИПЦЦ за подготовка на инвентари на стакленички гасови и прирачниците на ИПЦЦ за добри практики. За прв пат во Македонија се пресметуваат емисиите според оваа методологија на локално ниво која исто така се користи за национална инвентаризација на стакленичките гасови. Емисионите фактори се во согласност со </w:t>
      </w:r>
      <w:r w:rsidRPr="00D02F72">
        <w:rPr>
          <w:rFonts w:ascii="Arial Narrow" w:hAnsi="Arial Narrow" w:cs="DejaVuSans"/>
          <w:sz w:val="28"/>
          <w:szCs w:val="28"/>
          <w:lang w:val="mk-MK"/>
        </w:rPr>
        <w:lastRenderedPageBreak/>
        <w:t>документот „Национални емисиони фактори за CO2 и не-CO2 гасови за клучните Сектори на емисии во воздухот согласно IPCC и CORINAIR методологиите“ кој е изработен во склоп на Третиот извештај кон УНФЦЦЦ на Република Македонија. При инвентаризацијата се пресметуваат емисиите од директните (CO</w:t>
      </w:r>
      <w:r w:rsidRPr="00D02F72">
        <w:rPr>
          <w:rFonts w:ascii="Arial Narrow" w:hAnsi="Arial Narrow" w:cs="DejaVuSans"/>
          <w:sz w:val="28"/>
          <w:szCs w:val="28"/>
          <w:vertAlign w:val="subscript"/>
          <w:lang w:val="mk-MK"/>
        </w:rPr>
        <w:t>2</w:t>
      </w:r>
      <w:r w:rsidRPr="00D02F72">
        <w:rPr>
          <w:rFonts w:ascii="Arial Narrow" w:hAnsi="Arial Narrow" w:cs="DejaVuSans"/>
          <w:sz w:val="28"/>
          <w:szCs w:val="28"/>
          <w:lang w:val="mk-MK"/>
        </w:rPr>
        <w:t>, CH</w:t>
      </w:r>
      <w:r w:rsidRPr="00D02F72">
        <w:rPr>
          <w:rFonts w:ascii="Arial Narrow" w:hAnsi="Arial Narrow" w:cs="DejaVuSans"/>
          <w:sz w:val="28"/>
          <w:szCs w:val="28"/>
          <w:vertAlign w:val="subscript"/>
          <w:lang w:val="mk-MK"/>
        </w:rPr>
        <w:t>4</w:t>
      </w:r>
      <w:r w:rsidRPr="00D02F72">
        <w:rPr>
          <w:rFonts w:ascii="Arial Narrow" w:hAnsi="Arial Narrow" w:cs="DejaVuSans"/>
          <w:sz w:val="28"/>
          <w:szCs w:val="28"/>
          <w:lang w:val="mk-MK"/>
        </w:rPr>
        <w:t>, N</w:t>
      </w:r>
      <w:r w:rsidRPr="00D02F72">
        <w:rPr>
          <w:rFonts w:ascii="Arial Narrow" w:hAnsi="Arial Narrow" w:cs="DejaVuSans"/>
          <w:sz w:val="28"/>
          <w:szCs w:val="28"/>
          <w:vertAlign w:val="subscript"/>
          <w:lang w:val="mk-MK"/>
        </w:rPr>
        <w:t>2</w:t>
      </w:r>
      <w:r w:rsidRPr="00D02F72">
        <w:rPr>
          <w:rFonts w:ascii="Arial Narrow" w:hAnsi="Arial Narrow" w:cs="DejaVuSans"/>
          <w:sz w:val="28"/>
          <w:szCs w:val="28"/>
          <w:lang w:val="mk-MK"/>
        </w:rPr>
        <w:t>O) и индиректните стакленички гасови (CO, NOx, SO2). Во инвентаризацијата се користат потенцијалите на глобално затоплување од Вториот извештај за проценка на ИПЦЦ (SAR) и се дадени во Табела 2.</w:t>
      </w:r>
    </w:p>
    <w:p w:rsidR="00D02F72" w:rsidRPr="00D02F72" w:rsidRDefault="00D02F72" w:rsidP="00D02F72">
      <w:pPr>
        <w:keepNext/>
        <w:tabs>
          <w:tab w:val="left" w:pos="1701"/>
        </w:tabs>
        <w:spacing w:before="120" w:after="120" w:line="240" w:lineRule="auto"/>
        <w:ind w:left="1701" w:right="567" w:hanging="1134"/>
        <w:rPr>
          <w:rFonts w:ascii="StobiSerifIt Regular" w:hAnsi="StobiSerifIt Regular"/>
          <w:i/>
          <w:color w:val="4F6228" w:themeColor="accent3" w:themeShade="80"/>
          <w:lang w:val="mk-MK" w:eastAsia="en-GB"/>
        </w:rPr>
      </w:pPr>
      <w:r w:rsidRPr="00D02F72">
        <w:rPr>
          <w:rFonts w:ascii="StobiSerifIt Regular" w:hAnsi="StobiSerifIt Regular"/>
          <w:i/>
          <w:color w:val="4F6228" w:themeColor="accent3" w:themeShade="80"/>
          <w:lang w:val="mk-MK" w:eastAsia="en-GB"/>
        </w:rPr>
        <w:t>Потенцијaли на глобално затоплување Вториот извештај за проценка на IPCC (SAR).</w:t>
      </w:r>
    </w:p>
    <w:tbl>
      <w:tblPr>
        <w:tblStyle w:val="TableGrid"/>
        <w:tblW w:w="0" w:type="auto"/>
        <w:tblLook w:val="04A0" w:firstRow="1" w:lastRow="0" w:firstColumn="1" w:lastColumn="0" w:noHBand="0" w:noVBand="1"/>
      </w:tblPr>
      <w:tblGrid>
        <w:gridCol w:w="1809"/>
        <w:gridCol w:w="4678"/>
      </w:tblGrid>
      <w:tr w:rsidR="00D02F72" w:rsidRPr="00D02F72" w:rsidTr="00A07853">
        <w:tc>
          <w:tcPr>
            <w:tcW w:w="1809" w:type="dxa"/>
            <w:shd w:val="clear" w:color="auto" w:fill="D6E3BC" w:themeFill="accent3" w:themeFillTint="66"/>
          </w:tcPr>
          <w:p w:rsidR="00D02F72" w:rsidRPr="00D02F72" w:rsidRDefault="00D02F72" w:rsidP="00D02F72">
            <w:pPr>
              <w:tabs>
                <w:tab w:val="left" w:pos="3675"/>
              </w:tabs>
              <w:jc w:val="both"/>
              <w:rPr>
                <w:rFonts w:ascii="Arial Narrow" w:hAnsi="Arial Narrow" w:cs="DejaVuSans"/>
                <w:sz w:val="28"/>
                <w:szCs w:val="28"/>
                <w:lang w:val="mk-MK"/>
              </w:rPr>
            </w:pPr>
            <w:r w:rsidRPr="00D02F72">
              <w:rPr>
                <w:rFonts w:ascii="Arial Narrow" w:hAnsi="Arial Narrow" w:cs="DejaVuSans"/>
                <w:sz w:val="28"/>
                <w:szCs w:val="28"/>
                <w:lang w:val="mk-MK"/>
              </w:rPr>
              <w:t>Стакленички гас</w:t>
            </w:r>
          </w:p>
        </w:tc>
        <w:tc>
          <w:tcPr>
            <w:tcW w:w="4678" w:type="dxa"/>
            <w:shd w:val="clear" w:color="auto" w:fill="D6E3BC" w:themeFill="accent3" w:themeFillTint="66"/>
          </w:tcPr>
          <w:p w:rsidR="00D02F72" w:rsidRPr="00D02F72" w:rsidRDefault="00D02F72" w:rsidP="00D02F72">
            <w:pPr>
              <w:tabs>
                <w:tab w:val="left" w:pos="3675"/>
              </w:tabs>
              <w:jc w:val="both"/>
              <w:rPr>
                <w:rFonts w:ascii="Arial Narrow" w:hAnsi="Arial Narrow" w:cs="DejaVuSans"/>
                <w:sz w:val="28"/>
                <w:szCs w:val="28"/>
                <w:lang w:val="mk-MK"/>
              </w:rPr>
            </w:pPr>
            <w:r w:rsidRPr="00D02F72">
              <w:rPr>
                <w:rFonts w:ascii="Arial Narrow" w:hAnsi="Arial Narrow" w:cs="DejaVuSans"/>
                <w:sz w:val="28"/>
                <w:szCs w:val="28"/>
                <w:lang w:val="mk-MK"/>
              </w:rPr>
              <w:t>Потенцијалите на глобалното затоплување</w:t>
            </w:r>
          </w:p>
        </w:tc>
      </w:tr>
      <w:tr w:rsidR="00D02F72" w:rsidRPr="00D02F72" w:rsidTr="00A07853">
        <w:tc>
          <w:tcPr>
            <w:tcW w:w="1809" w:type="dxa"/>
          </w:tcPr>
          <w:p w:rsidR="00D02F72" w:rsidRPr="00D02F72" w:rsidRDefault="00D02F72" w:rsidP="00D02F72">
            <w:pPr>
              <w:tabs>
                <w:tab w:val="left" w:pos="3675"/>
              </w:tabs>
              <w:jc w:val="both"/>
              <w:rPr>
                <w:rFonts w:ascii="Arial Narrow" w:hAnsi="Arial Narrow" w:cs="DejaVuSans"/>
                <w:sz w:val="28"/>
                <w:szCs w:val="28"/>
              </w:rPr>
            </w:pPr>
            <w:r w:rsidRPr="00D02F72">
              <w:rPr>
                <w:rFonts w:ascii="Arial Narrow" w:hAnsi="Arial Narrow" w:cs="DejaVuSans"/>
                <w:sz w:val="28"/>
                <w:szCs w:val="28"/>
                <w:lang w:val="mk-MK"/>
              </w:rPr>
              <w:t>CO</w:t>
            </w:r>
            <w:r w:rsidRPr="00D02F72">
              <w:rPr>
                <w:rFonts w:ascii="Arial Narrow" w:hAnsi="Arial Narrow" w:cs="DejaVuSans"/>
                <w:sz w:val="28"/>
                <w:szCs w:val="28"/>
                <w:vertAlign w:val="subscript"/>
                <w:lang w:val="mk-MK"/>
              </w:rPr>
              <w:t>2</w:t>
            </w:r>
          </w:p>
        </w:tc>
        <w:tc>
          <w:tcPr>
            <w:tcW w:w="4678" w:type="dxa"/>
          </w:tcPr>
          <w:p w:rsidR="00D02F72" w:rsidRPr="00D02F72" w:rsidRDefault="00D02F72" w:rsidP="00D02F72">
            <w:pPr>
              <w:tabs>
                <w:tab w:val="left" w:pos="3675"/>
              </w:tabs>
              <w:jc w:val="both"/>
              <w:rPr>
                <w:rFonts w:ascii="Arial Narrow" w:hAnsi="Arial Narrow" w:cs="DejaVuSans"/>
                <w:sz w:val="28"/>
                <w:szCs w:val="28"/>
              </w:rPr>
            </w:pPr>
            <w:r w:rsidRPr="00D02F72">
              <w:rPr>
                <w:rFonts w:ascii="Arial Narrow" w:hAnsi="Arial Narrow" w:cs="DejaVuSans"/>
                <w:sz w:val="28"/>
                <w:szCs w:val="28"/>
              </w:rPr>
              <w:t>1</w:t>
            </w:r>
          </w:p>
        </w:tc>
      </w:tr>
      <w:tr w:rsidR="00D02F72" w:rsidRPr="00D02F72" w:rsidTr="00A07853">
        <w:tc>
          <w:tcPr>
            <w:tcW w:w="1809" w:type="dxa"/>
          </w:tcPr>
          <w:p w:rsidR="00D02F72" w:rsidRPr="00D02F72" w:rsidRDefault="00D02F72" w:rsidP="00D02F72">
            <w:pPr>
              <w:tabs>
                <w:tab w:val="left" w:pos="3675"/>
              </w:tabs>
              <w:jc w:val="both"/>
              <w:rPr>
                <w:rFonts w:ascii="Arial Narrow" w:hAnsi="Arial Narrow" w:cs="DejaVuSans"/>
                <w:sz w:val="28"/>
                <w:szCs w:val="28"/>
              </w:rPr>
            </w:pPr>
            <w:r w:rsidRPr="00D02F72">
              <w:rPr>
                <w:rFonts w:ascii="Arial Narrow" w:hAnsi="Arial Narrow" w:cs="DejaVuSans"/>
                <w:sz w:val="28"/>
                <w:szCs w:val="28"/>
                <w:lang w:val="mk-MK"/>
              </w:rPr>
              <w:t>CH</w:t>
            </w:r>
            <w:r w:rsidRPr="00D02F72">
              <w:rPr>
                <w:rFonts w:ascii="Arial Narrow" w:hAnsi="Arial Narrow" w:cs="DejaVuSans"/>
                <w:sz w:val="28"/>
                <w:szCs w:val="28"/>
                <w:vertAlign w:val="subscript"/>
                <w:lang w:val="mk-MK"/>
              </w:rPr>
              <w:t>4</w:t>
            </w:r>
          </w:p>
        </w:tc>
        <w:tc>
          <w:tcPr>
            <w:tcW w:w="4678" w:type="dxa"/>
          </w:tcPr>
          <w:p w:rsidR="00D02F72" w:rsidRPr="00D02F72" w:rsidRDefault="00D02F72" w:rsidP="00D02F72">
            <w:pPr>
              <w:tabs>
                <w:tab w:val="left" w:pos="3675"/>
              </w:tabs>
              <w:jc w:val="both"/>
              <w:rPr>
                <w:rFonts w:ascii="Arial Narrow" w:hAnsi="Arial Narrow" w:cs="DejaVuSans"/>
                <w:sz w:val="28"/>
                <w:szCs w:val="28"/>
              </w:rPr>
            </w:pPr>
            <w:r w:rsidRPr="00D02F72">
              <w:rPr>
                <w:rFonts w:ascii="Arial Narrow" w:hAnsi="Arial Narrow" w:cs="DejaVuSans"/>
                <w:sz w:val="28"/>
                <w:szCs w:val="28"/>
              </w:rPr>
              <w:t>21</w:t>
            </w:r>
          </w:p>
        </w:tc>
      </w:tr>
      <w:tr w:rsidR="00D02F72" w:rsidRPr="00D02F72" w:rsidTr="00A07853">
        <w:tc>
          <w:tcPr>
            <w:tcW w:w="1809" w:type="dxa"/>
          </w:tcPr>
          <w:p w:rsidR="00D02F72" w:rsidRPr="00D02F72" w:rsidRDefault="00D02F72" w:rsidP="00D02F72">
            <w:pPr>
              <w:tabs>
                <w:tab w:val="left" w:pos="3675"/>
              </w:tabs>
              <w:jc w:val="both"/>
              <w:rPr>
                <w:rFonts w:ascii="Arial Narrow" w:hAnsi="Arial Narrow" w:cs="DejaVuSans"/>
                <w:sz w:val="28"/>
                <w:szCs w:val="28"/>
              </w:rPr>
            </w:pPr>
            <w:r w:rsidRPr="00D02F72">
              <w:rPr>
                <w:rFonts w:ascii="Arial Narrow" w:hAnsi="Arial Narrow" w:cs="DejaVuSans"/>
                <w:sz w:val="28"/>
                <w:szCs w:val="28"/>
                <w:lang w:val="mk-MK"/>
              </w:rPr>
              <w:t>N</w:t>
            </w:r>
            <w:r w:rsidRPr="00D02F72">
              <w:rPr>
                <w:rFonts w:ascii="Arial Narrow" w:hAnsi="Arial Narrow" w:cs="DejaVuSans"/>
                <w:sz w:val="28"/>
                <w:szCs w:val="28"/>
                <w:vertAlign w:val="subscript"/>
                <w:lang w:val="mk-MK"/>
              </w:rPr>
              <w:t>2</w:t>
            </w:r>
            <w:r w:rsidRPr="00D02F72">
              <w:rPr>
                <w:rFonts w:ascii="Arial Narrow" w:hAnsi="Arial Narrow" w:cs="DejaVuSans"/>
                <w:sz w:val="28"/>
                <w:szCs w:val="28"/>
                <w:lang w:val="mk-MK"/>
              </w:rPr>
              <w:t>O</w:t>
            </w:r>
          </w:p>
        </w:tc>
        <w:tc>
          <w:tcPr>
            <w:tcW w:w="4678" w:type="dxa"/>
          </w:tcPr>
          <w:p w:rsidR="00D02F72" w:rsidRPr="00D02F72" w:rsidRDefault="00D02F72" w:rsidP="00D02F72">
            <w:pPr>
              <w:tabs>
                <w:tab w:val="left" w:pos="3675"/>
              </w:tabs>
              <w:jc w:val="both"/>
              <w:rPr>
                <w:rFonts w:ascii="Arial Narrow" w:hAnsi="Arial Narrow" w:cs="DejaVuSans"/>
                <w:sz w:val="28"/>
                <w:szCs w:val="28"/>
              </w:rPr>
            </w:pPr>
            <w:r w:rsidRPr="00D02F72">
              <w:rPr>
                <w:rFonts w:ascii="Arial Narrow" w:hAnsi="Arial Narrow" w:cs="DejaVuSans"/>
                <w:sz w:val="28"/>
                <w:szCs w:val="28"/>
              </w:rPr>
              <w:t>310</w:t>
            </w:r>
          </w:p>
        </w:tc>
      </w:tr>
    </w:tbl>
    <w:p w:rsidR="00D02F72" w:rsidRPr="00D02F72" w:rsidRDefault="00D02F72" w:rsidP="00D02F72">
      <w:pPr>
        <w:keepNext/>
        <w:numPr>
          <w:ilvl w:val="2"/>
          <w:numId w:val="0"/>
        </w:numPr>
        <w:tabs>
          <w:tab w:val="left" w:pos="1134"/>
        </w:tabs>
        <w:spacing w:before="400" w:line="300" w:lineRule="exact"/>
        <w:ind w:left="1134" w:hanging="1134"/>
        <w:outlineLvl w:val="2"/>
        <w:rPr>
          <w:rFonts w:ascii="Arial Black" w:hAnsi="Arial Black" w:cs="Times New Roman"/>
          <w:b/>
          <w:bCs/>
          <w:noProof/>
          <w:color w:val="4F6228"/>
          <w:lang w:val="mk-MK" w:eastAsia="en-GB"/>
        </w:rPr>
      </w:pPr>
      <w:bookmarkStart w:id="8" w:name="_Toc382343189"/>
      <w:bookmarkStart w:id="9" w:name="_Toc382343490"/>
      <w:bookmarkStart w:id="10" w:name="_Toc382343802"/>
      <w:bookmarkStart w:id="11" w:name="_Toc382344111"/>
      <w:bookmarkStart w:id="12" w:name="_Toc382343190"/>
      <w:bookmarkStart w:id="13" w:name="_Toc382343491"/>
      <w:bookmarkStart w:id="14" w:name="_Toc382343803"/>
      <w:bookmarkStart w:id="15" w:name="_Toc382344112"/>
      <w:bookmarkStart w:id="16" w:name="_Toc382344113"/>
      <w:bookmarkEnd w:id="8"/>
      <w:bookmarkEnd w:id="9"/>
      <w:bookmarkEnd w:id="10"/>
      <w:bookmarkEnd w:id="11"/>
      <w:bookmarkEnd w:id="12"/>
      <w:bookmarkEnd w:id="13"/>
      <w:bookmarkEnd w:id="14"/>
      <w:bookmarkEnd w:id="15"/>
      <w:r w:rsidRPr="00D02F72">
        <w:rPr>
          <w:rFonts w:ascii="Arial Black" w:hAnsi="Arial Black" w:cs="Times New Roman"/>
          <w:b/>
          <w:bCs/>
          <w:color w:val="4F6228"/>
          <w:lang w:val="mk-MK" w:eastAsia="en-GB"/>
        </w:rPr>
        <w:t>Инвентар</w:t>
      </w:r>
      <w:r w:rsidRPr="00D02F72">
        <w:rPr>
          <w:rFonts w:ascii="Arial Black" w:hAnsi="Arial Black" w:cs="Times New Roman"/>
          <w:b/>
          <w:bCs/>
          <w:noProof/>
          <w:color w:val="4F6228"/>
          <w:lang w:val="mk-MK" w:eastAsia="en-GB"/>
        </w:rPr>
        <w:t xml:space="preserve"> на стакленички гасови за општина Богданци</w:t>
      </w:r>
      <w:bookmarkEnd w:id="16"/>
    </w:p>
    <w:p w:rsidR="00D02F72" w:rsidRPr="00D02F72" w:rsidRDefault="00D02F72" w:rsidP="00D02F72">
      <w:pPr>
        <w:keepNext/>
        <w:numPr>
          <w:ilvl w:val="3"/>
          <w:numId w:val="0"/>
        </w:numPr>
        <w:spacing w:before="200" w:line="300" w:lineRule="exact"/>
        <w:ind w:left="1134" w:hanging="1134"/>
        <w:outlineLvl w:val="3"/>
        <w:rPr>
          <w:rFonts w:ascii="Arial" w:eastAsia="Times New Roman" w:hAnsi="Arial" w:cs="Arial"/>
          <w:bCs/>
          <w:color w:val="4F6228"/>
          <w:lang w:val="mk-MK"/>
          <w14:textFill>
            <w14:solidFill>
              <w14:srgbClr w14:val="4F6228">
                <w14:lumMod w14:val="50000"/>
              </w14:srgbClr>
            </w14:solidFill>
          </w14:textFill>
        </w:rPr>
      </w:pPr>
      <w:r w:rsidRPr="00D02F72">
        <w:rPr>
          <w:rFonts w:ascii="Arial" w:eastAsia="Times New Roman" w:hAnsi="Arial" w:cs="Arial"/>
          <w:bCs/>
          <w:color w:val="4F6228"/>
          <w:lang w:val="mk-MK"/>
          <w14:textFill>
            <w14:solidFill>
              <w14:srgbClr w14:val="4F6228">
                <w14:lumMod w14:val="50000"/>
              </w14:srgbClr>
            </w14:solidFill>
          </w14:textFill>
        </w:rPr>
        <w:t>Транспорт</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Во секторот транспорт се вклучуваат емисиите од стакленичките гасови на повеќе типови превозни средства, како што се автомобилите, камионите, тракторите, моторциклите, итн. Овие превозни средства работат на различни типови горива: бензин, дизел и ТНГ, со чие користење се емитуваат стакленички гасови CO2 (јаглероден диоксид), CH4 (метан) и N2O (азотен оксид) како и други гасови (CO, NMVOCs, PM, NOx) кои доведуваат до загадување на воздухот во општината. Емисиите на стакленичките гасови може да се пресметаат преку искористеното гориво на територијата на општината (продаденото гориво на бензинските пумпи) или преку поминатата километража на возилата во општината.</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Во Република Македонија главни производители, увозници и дистрибутери на овие горива се ОКТА а.д. Скопје, МАКПЕТРОЛ а.д. Скопје и ЛУКОИЛ МАКЕДОНИЈА дооел, Скопје. Податоците за квалитетот на течните горива на овие компании официјално се објавени на нивните WEB страни, според кои станува збор за унифицирани типови на горива кои се во согласност со Правилникот за квалитетот за течните горива („Службен весник на РМ“ бр. 88/2007, 91/2007, 97/2007, 105/2007, 157/2007, 15/2008, 78/2008, 156/2008 и 81/2009) и соодветните стандарди (МКС ЕН 228; МКС ЕН 590; МКС ЕН 14214; МКС 1001 и МКС Б.Х2 430).</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lastRenderedPageBreak/>
        <w:t>Определувањето на емисионите фактори за CO2 е направено со избор на стандардните CO2 Емисиони фактори за секој вид на гориво. За CH4 и N2O земени се емисиони фактори кои се соодветни на видот на горивото и видот на возилата. Овие емисиони фактори се во согласност со националниот избор на емисиони фактори предложен во документот „ Национални емисиони фактори за CO2 и не-CO2 гасови за клучните Сектори на емисии во воздухот согласно IPCC и CORINAIR методологиите“ и се дадени во Табела 2.</w:t>
      </w:r>
    </w:p>
    <w:p w:rsidR="00D02F72" w:rsidRPr="00D02F72" w:rsidRDefault="00D02F72" w:rsidP="00D02F72">
      <w:pPr>
        <w:keepNext/>
        <w:tabs>
          <w:tab w:val="left" w:pos="1701"/>
        </w:tabs>
        <w:spacing w:before="120" w:after="120" w:line="240" w:lineRule="auto"/>
        <w:ind w:left="1701" w:right="567" w:hanging="1134"/>
        <w:rPr>
          <w:rFonts w:ascii="StobiSerifIt Regular" w:hAnsi="StobiSerifIt Regular"/>
          <w:i/>
          <w:color w:val="4F6228" w:themeColor="accent3" w:themeShade="80"/>
          <w:lang w:val="mk-MK" w:eastAsia="en-GB"/>
        </w:rPr>
      </w:pPr>
      <w:r w:rsidRPr="00D02F72">
        <w:rPr>
          <w:rFonts w:ascii="StobiSerifIt Regular" w:hAnsi="StobiSerifIt Regular"/>
          <w:i/>
          <w:color w:val="4F6228" w:themeColor="accent3" w:themeShade="80"/>
          <w:lang w:val="mk-MK" w:eastAsia="en-GB"/>
        </w:rPr>
        <w:t>Емисиони фактори за CO2, за сектор Транспорт – Патен сообраќај</w:t>
      </w:r>
    </w:p>
    <w:tbl>
      <w:tblPr>
        <w:tblStyle w:val="TableGrid"/>
        <w:tblW w:w="0" w:type="auto"/>
        <w:tblLook w:val="04A0" w:firstRow="1" w:lastRow="0" w:firstColumn="1" w:lastColumn="0" w:noHBand="0" w:noVBand="1"/>
      </w:tblPr>
      <w:tblGrid>
        <w:gridCol w:w="1917"/>
        <w:gridCol w:w="1929"/>
        <w:gridCol w:w="1910"/>
        <w:gridCol w:w="1910"/>
        <w:gridCol w:w="1910"/>
      </w:tblGrid>
      <w:tr w:rsidR="00D02F72" w:rsidRPr="00D02F72" w:rsidTr="00A07853">
        <w:tc>
          <w:tcPr>
            <w:tcW w:w="1970" w:type="dxa"/>
            <w:shd w:val="clear" w:color="auto" w:fill="C2D69B" w:themeFill="accent3" w:themeFillTint="99"/>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p>
        </w:tc>
        <w:tc>
          <w:tcPr>
            <w:tcW w:w="1971" w:type="dxa"/>
            <w:shd w:val="clear" w:color="auto" w:fill="C2D69B" w:themeFill="accent3" w:themeFillTint="99"/>
          </w:tcPr>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Емисионен</w:t>
            </w:r>
          </w:p>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фактор</w:t>
            </w:r>
          </w:p>
        </w:tc>
        <w:tc>
          <w:tcPr>
            <w:tcW w:w="1971" w:type="dxa"/>
            <w:shd w:val="clear" w:color="auto" w:fill="C2D69B" w:themeFill="accent3" w:themeFillTint="99"/>
          </w:tcPr>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Единица</w:t>
            </w:r>
          </w:p>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мерка</w:t>
            </w:r>
          </w:p>
        </w:tc>
        <w:tc>
          <w:tcPr>
            <w:tcW w:w="1971" w:type="dxa"/>
            <w:shd w:val="clear" w:color="auto" w:fill="C2D69B" w:themeFill="accent3" w:themeFillTint="99"/>
          </w:tcPr>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
                <w:sz w:val="28"/>
                <w:szCs w:val="28"/>
                <w:lang w:val="mk-MK"/>
              </w:rPr>
              <w:t>Гориво</w:t>
            </w:r>
          </w:p>
        </w:tc>
        <w:tc>
          <w:tcPr>
            <w:tcW w:w="1971" w:type="dxa"/>
            <w:shd w:val="clear" w:color="auto" w:fill="C2D69B" w:themeFill="accent3" w:themeFillTint="99"/>
          </w:tcPr>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Единица</w:t>
            </w:r>
          </w:p>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мерка</w:t>
            </w:r>
          </w:p>
        </w:tc>
      </w:tr>
      <w:tr w:rsidR="00D02F72" w:rsidRPr="00D02F72" w:rsidTr="00A07853">
        <w:tc>
          <w:tcPr>
            <w:tcW w:w="1970" w:type="dxa"/>
            <w:vMerge w:val="restart"/>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
                <w:sz w:val="28"/>
                <w:szCs w:val="28"/>
                <w:lang w:val="mk-MK"/>
              </w:rPr>
            </w:pPr>
          </w:p>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Патен</w:t>
            </w:r>
          </w:p>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
                <w:sz w:val="28"/>
                <w:szCs w:val="28"/>
                <w:lang w:val="mk-MK"/>
              </w:rPr>
              <w:t>сообраќај</w:t>
            </w:r>
          </w:p>
        </w:tc>
        <w:tc>
          <w:tcPr>
            <w:tcW w:w="1971" w:type="dxa"/>
          </w:tcPr>
          <w:p w:rsidR="00D02F72" w:rsidRPr="00D02F72" w:rsidRDefault="00D02F72" w:rsidP="00D02F72">
            <w:pPr>
              <w:tabs>
                <w:tab w:val="right" w:pos="1755"/>
              </w:tabs>
              <w:autoSpaceDE w:val="0"/>
              <w:autoSpaceDN w:val="0"/>
              <w:adjustRightInd w:val="0"/>
              <w:spacing w:before="120" w:after="120"/>
              <w:jc w:val="center"/>
              <w:rPr>
                <w:rFonts w:ascii="Arial Narrow" w:hAnsi="Arial Narrow" w:cs="DejaVuSans"/>
                <w:sz w:val="28"/>
                <w:szCs w:val="28"/>
                <w:lang w:val="mk-MK"/>
              </w:rPr>
            </w:pPr>
            <w:r w:rsidRPr="00D02F72">
              <w:rPr>
                <w:rFonts w:ascii="Arial Narrow" w:hAnsi="Arial Narrow" w:cs="DejaVuSans"/>
                <w:sz w:val="28"/>
                <w:szCs w:val="28"/>
                <w:lang w:val="mk-MK"/>
              </w:rPr>
              <w:t>69300</w:t>
            </w:r>
          </w:p>
        </w:tc>
        <w:tc>
          <w:tcPr>
            <w:tcW w:w="1971" w:type="dxa"/>
          </w:tcPr>
          <w:p w:rsidR="00D02F72" w:rsidRPr="00D02F72" w:rsidRDefault="00D02F72" w:rsidP="00D02F72">
            <w:pPr>
              <w:autoSpaceDE w:val="0"/>
              <w:autoSpaceDN w:val="0"/>
              <w:adjustRightInd w:val="0"/>
              <w:spacing w:before="120" w:after="120"/>
              <w:jc w:val="center"/>
              <w:rPr>
                <w:rFonts w:ascii="Arial Narrow" w:hAnsi="Arial Narrow" w:cs="DejaVuSans"/>
                <w:sz w:val="28"/>
                <w:szCs w:val="28"/>
                <w:lang w:val="mk-MK"/>
              </w:rPr>
            </w:pPr>
            <w:r w:rsidRPr="00D02F72">
              <w:rPr>
                <w:rFonts w:ascii="Arial Narrow" w:hAnsi="Arial Narrow" w:cs="DejaVuSans"/>
                <w:sz w:val="28"/>
                <w:szCs w:val="28"/>
                <w:lang w:val="mk-MK"/>
              </w:rPr>
              <w:t>kg/TJ</w:t>
            </w:r>
          </w:p>
        </w:tc>
        <w:tc>
          <w:tcPr>
            <w:tcW w:w="1971" w:type="dxa"/>
          </w:tcPr>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Моторен</w:t>
            </w:r>
          </w:p>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бензин</w:t>
            </w:r>
          </w:p>
        </w:tc>
        <w:tc>
          <w:tcPr>
            <w:tcW w:w="1971" w:type="dxa"/>
          </w:tcPr>
          <w:p w:rsidR="00D02F72" w:rsidRPr="00D02F72" w:rsidRDefault="00D02F72" w:rsidP="00D02F72">
            <w:pPr>
              <w:autoSpaceDE w:val="0"/>
              <w:autoSpaceDN w:val="0"/>
              <w:adjustRightInd w:val="0"/>
              <w:spacing w:before="120" w:after="120"/>
              <w:jc w:val="center"/>
              <w:rPr>
                <w:rFonts w:ascii="Arial Narrow" w:hAnsi="Arial Narrow" w:cs="DejaVuSans"/>
                <w:sz w:val="28"/>
                <w:szCs w:val="28"/>
                <w:lang w:val="mk-MK"/>
              </w:rPr>
            </w:pPr>
            <w:r w:rsidRPr="00D02F72">
              <w:rPr>
                <w:rFonts w:ascii="Arial Narrow" w:hAnsi="Arial Narrow" w:cs="DejaVuSans"/>
                <w:sz w:val="28"/>
                <w:szCs w:val="28"/>
                <w:lang w:val="mk-MK"/>
              </w:rPr>
              <w:t>TJ</w:t>
            </w:r>
          </w:p>
        </w:tc>
      </w:tr>
      <w:tr w:rsidR="00D02F72" w:rsidRPr="00D02F72" w:rsidTr="00A07853">
        <w:tc>
          <w:tcPr>
            <w:tcW w:w="1970" w:type="dxa"/>
            <w:vMerge/>
            <w:shd w:val="clear" w:color="auto" w:fill="D6E3BC" w:themeFill="accent3" w:themeFillTint="66"/>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p>
        </w:tc>
        <w:tc>
          <w:tcPr>
            <w:tcW w:w="1971" w:type="dxa"/>
          </w:tcPr>
          <w:p w:rsidR="00D02F72" w:rsidRPr="00D02F72" w:rsidRDefault="00D02F72" w:rsidP="00D02F72">
            <w:pPr>
              <w:autoSpaceDE w:val="0"/>
              <w:autoSpaceDN w:val="0"/>
              <w:adjustRightInd w:val="0"/>
              <w:spacing w:before="120" w:after="120"/>
              <w:jc w:val="center"/>
              <w:rPr>
                <w:rFonts w:ascii="Arial Narrow" w:hAnsi="Arial Narrow" w:cs="DejaVuSans"/>
                <w:sz w:val="28"/>
                <w:szCs w:val="28"/>
                <w:lang w:val="mk-MK"/>
              </w:rPr>
            </w:pPr>
            <w:r w:rsidRPr="00D02F72">
              <w:rPr>
                <w:rFonts w:ascii="Arial Narrow" w:hAnsi="Arial Narrow" w:cs="DejaVuSans"/>
                <w:sz w:val="28"/>
                <w:szCs w:val="28"/>
                <w:lang w:val="mk-MK"/>
              </w:rPr>
              <w:t>74100</w:t>
            </w:r>
          </w:p>
        </w:tc>
        <w:tc>
          <w:tcPr>
            <w:tcW w:w="1971" w:type="dxa"/>
          </w:tcPr>
          <w:p w:rsidR="00D02F72" w:rsidRPr="00D02F72" w:rsidRDefault="00D02F72" w:rsidP="00D02F72">
            <w:pPr>
              <w:autoSpaceDE w:val="0"/>
              <w:autoSpaceDN w:val="0"/>
              <w:adjustRightInd w:val="0"/>
              <w:spacing w:before="120" w:after="120"/>
              <w:jc w:val="center"/>
              <w:rPr>
                <w:rFonts w:ascii="Arial Narrow" w:hAnsi="Arial Narrow" w:cs="DejaVuSans"/>
                <w:sz w:val="28"/>
                <w:szCs w:val="28"/>
                <w:lang w:val="mk-MK"/>
              </w:rPr>
            </w:pPr>
            <w:r w:rsidRPr="00D02F72">
              <w:rPr>
                <w:rFonts w:ascii="Arial Narrow" w:hAnsi="Arial Narrow" w:cs="DejaVuSans"/>
                <w:sz w:val="28"/>
                <w:szCs w:val="28"/>
                <w:lang w:val="mk-MK"/>
              </w:rPr>
              <w:t>kg/TJ</w:t>
            </w:r>
          </w:p>
        </w:tc>
        <w:tc>
          <w:tcPr>
            <w:tcW w:w="1971" w:type="dxa"/>
          </w:tcPr>
          <w:p w:rsidR="00D02F72" w:rsidRPr="00D02F72" w:rsidRDefault="00D02F72" w:rsidP="00D02F72">
            <w:pPr>
              <w:autoSpaceDE w:val="0"/>
              <w:autoSpaceDN w:val="0"/>
              <w:adjustRightInd w:val="0"/>
              <w:spacing w:before="120" w:after="120"/>
              <w:jc w:val="center"/>
              <w:rPr>
                <w:rFonts w:ascii="Arial Narrow" w:hAnsi="Arial Narrow" w:cs="DejaVuSans"/>
                <w:sz w:val="28"/>
                <w:szCs w:val="28"/>
                <w:lang w:val="mk-MK"/>
              </w:rPr>
            </w:pPr>
            <w:r w:rsidRPr="00D02F72">
              <w:rPr>
                <w:rFonts w:ascii="Arial Narrow" w:hAnsi="Arial Narrow" w:cs="DejaVuSans"/>
                <w:sz w:val="28"/>
                <w:szCs w:val="28"/>
                <w:lang w:val="mk-MK"/>
              </w:rPr>
              <w:t>Дизел</w:t>
            </w:r>
          </w:p>
        </w:tc>
        <w:tc>
          <w:tcPr>
            <w:tcW w:w="1971" w:type="dxa"/>
          </w:tcPr>
          <w:p w:rsidR="00D02F72" w:rsidRPr="00D02F72" w:rsidRDefault="00D02F72" w:rsidP="00D02F72">
            <w:pPr>
              <w:autoSpaceDE w:val="0"/>
              <w:autoSpaceDN w:val="0"/>
              <w:adjustRightInd w:val="0"/>
              <w:spacing w:before="120" w:after="120"/>
              <w:jc w:val="center"/>
              <w:rPr>
                <w:rFonts w:ascii="Arial Narrow" w:hAnsi="Arial Narrow" w:cs="DejaVuSans"/>
                <w:sz w:val="28"/>
                <w:szCs w:val="28"/>
                <w:lang w:val="mk-MK"/>
              </w:rPr>
            </w:pPr>
            <w:r w:rsidRPr="00D02F72">
              <w:rPr>
                <w:rFonts w:ascii="Arial Narrow" w:hAnsi="Arial Narrow" w:cs="DejaVuSans"/>
                <w:sz w:val="28"/>
                <w:szCs w:val="28"/>
                <w:lang w:val="mk-MK"/>
              </w:rPr>
              <w:t>TJ</w:t>
            </w:r>
          </w:p>
        </w:tc>
      </w:tr>
      <w:tr w:rsidR="00D02F72" w:rsidRPr="00D02F72" w:rsidTr="00A07853">
        <w:tc>
          <w:tcPr>
            <w:tcW w:w="1970" w:type="dxa"/>
            <w:vMerge/>
            <w:shd w:val="clear" w:color="auto" w:fill="D6E3BC" w:themeFill="accent3" w:themeFillTint="66"/>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p>
        </w:tc>
        <w:tc>
          <w:tcPr>
            <w:tcW w:w="1971" w:type="dxa"/>
          </w:tcPr>
          <w:p w:rsidR="00D02F72" w:rsidRPr="00D02F72" w:rsidRDefault="00D02F72" w:rsidP="00D02F72">
            <w:pPr>
              <w:autoSpaceDE w:val="0"/>
              <w:autoSpaceDN w:val="0"/>
              <w:adjustRightInd w:val="0"/>
              <w:spacing w:before="120"/>
              <w:jc w:val="center"/>
              <w:rPr>
                <w:rFonts w:ascii="Arial Narrow" w:hAnsi="Arial Narrow" w:cs="DejaVuSans"/>
                <w:sz w:val="28"/>
                <w:szCs w:val="28"/>
                <w:lang w:val="mk-MK"/>
              </w:rPr>
            </w:pPr>
            <w:r w:rsidRPr="00D02F72">
              <w:rPr>
                <w:rFonts w:ascii="Arial Narrow" w:hAnsi="Arial Narrow" w:cs="DejaVuSans"/>
                <w:sz w:val="28"/>
                <w:szCs w:val="28"/>
                <w:lang w:val="mk-MK"/>
              </w:rPr>
              <w:t>63100</w:t>
            </w:r>
          </w:p>
        </w:tc>
        <w:tc>
          <w:tcPr>
            <w:tcW w:w="1971" w:type="dxa"/>
          </w:tcPr>
          <w:p w:rsidR="00D02F72" w:rsidRPr="00D02F72" w:rsidRDefault="00D02F72" w:rsidP="00D02F72">
            <w:pPr>
              <w:autoSpaceDE w:val="0"/>
              <w:autoSpaceDN w:val="0"/>
              <w:adjustRightInd w:val="0"/>
              <w:spacing w:before="120"/>
              <w:jc w:val="center"/>
              <w:rPr>
                <w:rFonts w:ascii="Arial Narrow" w:hAnsi="Arial Narrow" w:cs="DejaVuSans"/>
                <w:sz w:val="28"/>
                <w:szCs w:val="28"/>
                <w:lang w:val="mk-MK"/>
              </w:rPr>
            </w:pPr>
            <w:r w:rsidRPr="00D02F72">
              <w:rPr>
                <w:rFonts w:ascii="Arial Narrow" w:hAnsi="Arial Narrow" w:cs="DejaVuSans"/>
                <w:sz w:val="28"/>
                <w:szCs w:val="28"/>
                <w:lang w:val="mk-MK"/>
              </w:rPr>
              <w:t>kg/TJ</w:t>
            </w:r>
          </w:p>
        </w:tc>
        <w:tc>
          <w:tcPr>
            <w:tcW w:w="1971" w:type="dxa"/>
          </w:tcPr>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Течен</w:t>
            </w:r>
          </w:p>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нафтен гас</w:t>
            </w:r>
          </w:p>
        </w:tc>
        <w:tc>
          <w:tcPr>
            <w:tcW w:w="1971" w:type="dxa"/>
          </w:tcPr>
          <w:p w:rsidR="00D02F72" w:rsidRPr="00D02F72" w:rsidRDefault="00D02F72" w:rsidP="00D02F72">
            <w:pPr>
              <w:autoSpaceDE w:val="0"/>
              <w:autoSpaceDN w:val="0"/>
              <w:adjustRightInd w:val="0"/>
              <w:spacing w:before="120"/>
              <w:jc w:val="center"/>
              <w:rPr>
                <w:rFonts w:ascii="Arial Narrow" w:hAnsi="Arial Narrow" w:cs="DejaVuSans"/>
                <w:sz w:val="28"/>
                <w:szCs w:val="28"/>
                <w:lang w:val="mk-MK"/>
              </w:rPr>
            </w:pPr>
            <w:r w:rsidRPr="00D02F72">
              <w:rPr>
                <w:rFonts w:ascii="Arial Narrow" w:hAnsi="Arial Narrow" w:cs="DejaVuSans"/>
                <w:sz w:val="28"/>
                <w:szCs w:val="28"/>
                <w:lang w:val="mk-MK"/>
              </w:rPr>
              <w:t>TJ</w:t>
            </w:r>
          </w:p>
        </w:tc>
      </w:tr>
    </w:tbl>
    <w:p w:rsidR="00D02F72" w:rsidRPr="00D02F72" w:rsidRDefault="00D02F72" w:rsidP="00D02F72">
      <w:pPr>
        <w:spacing w:line="300" w:lineRule="exact"/>
        <w:jc w:val="both"/>
        <w:rPr>
          <w:rFonts w:ascii="Arial" w:eastAsia="Calibri" w:hAnsi="Arial" w:cs="Arial"/>
          <w:lang w:val="mk-MK"/>
        </w:rPr>
      </w:pPr>
    </w:p>
    <w:p w:rsidR="00D02F72" w:rsidRPr="00D02F72" w:rsidRDefault="00D02F72" w:rsidP="00D02F72">
      <w:pPr>
        <w:spacing w:line="300" w:lineRule="exact"/>
        <w:jc w:val="both"/>
        <w:rPr>
          <w:rFonts w:ascii="Arial" w:eastAsia="Calibri" w:hAnsi="Arial" w:cs="Arial"/>
          <w:lang w:val="mk-MK"/>
        </w:rPr>
      </w:pPr>
      <w:r w:rsidRPr="00D02F72">
        <w:rPr>
          <w:rFonts w:ascii="Arial" w:eastAsia="Calibri" w:hAnsi="Arial" w:cs="Arial"/>
          <w:lang w:val="mk-MK"/>
        </w:rPr>
        <w:t>Податоците за бројот на возила и потрошеното гориво се добиени од работните групи во Општина Богданци. Пресметаните емисии на стакленички гасови за 2012 година од патниот соообраќај, се дадени во Табела 3.</w:t>
      </w:r>
    </w:p>
    <w:p w:rsidR="00D02F72" w:rsidRPr="00D02F72" w:rsidRDefault="00D02F72" w:rsidP="00D02F72">
      <w:pPr>
        <w:keepNext/>
        <w:tabs>
          <w:tab w:val="left" w:pos="1701"/>
        </w:tabs>
        <w:spacing w:before="120" w:after="120" w:line="240" w:lineRule="auto"/>
        <w:ind w:left="1701" w:right="567" w:hanging="1134"/>
        <w:rPr>
          <w:rFonts w:ascii="StobiSerifIt Regular" w:hAnsi="StobiSerifIt Regular"/>
          <w:i/>
          <w:color w:val="4F6228" w:themeColor="accent3" w:themeShade="80"/>
          <w:lang w:val="mk-MK" w:eastAsia="en-GB"/>
        </w:rPr>
      </w:pPr>
      <w:r w:rsidRPr="00D02F72">
        <w:rPr>
          <w:rFonts w:ascii="StobiSerifIt Regular" w:hAnsi="StobiSerifIt Regular"/>
          <w:i/>
          <w:color w:val="4F6228" w:themeColor="accent3" w:themeShade="80"/>
          <w:lang w:val="mk-MK" w:eastAsia="en-GB"/>
        </w:rPr>
        <w:t>Емисии на стакленички гасови од патниот сообраќај во Општина Богданци за 2012 година</w:t>
      </w:r>
    </w:p>
    <w:tbl>
      <w:tblPr>
        <w:tblStyle w:val="TableGrid"/>
        <w:tblW w:w="0" w:type="auto"/>
        <w:tblLook w:val="04A0" w:firstRow="1" w:lastRow="0" w:firstColumn="1" w:lastColumn="0" w:noHBand="0" w:noVBand="1"/>
      </w:tblPr>
      <w:tblGrid>
        <w:gridCol w:w="1950"/>
        <w:gridCol w:w="1247"/>
        <w:gridCol w:w="2066"/>
        <w:gridCol w:w="2187"/>
        <w:gridCol w:w="2126"/>
      </w:tblGrid>
      <w:tr w:rsidR="00D02F72" w:rsidRPr="00D02F72" w:rsidTr="00A07853">
        <w:tc>
          <w:tcPr>
            <w:tcW w:w="1970" w:type="dxa"/>
            <w:shd w:val="clear" w:color="auto" w:fill="D6E3BC" w:themeFill="accent3" w:themeFillTint="66"/>
          </w:tcPr>
          <w:p w:rsidR="00D02F72" w:rsidRPr="00D02F72" w:rsidRDefault="00D02F72" w:rsidP="00D02F72">
            <w:pPr>
              <w:autoSpaceDE w:val="0"/>
              <w:autoSpaceDN w:val="0"/>
              <w:adjustRightInd w:val="0"/>
              <w:spacing w:before="120" w:after="120"/>
              <w:rPr>
                <w:rFonts w:ascii="Arial Narrow" w:hAnsi="Arial Narrow" w:cs="DejaVuSans"/>
                <w:sz w:val="28"/>
                <w:szCs w:val="28"/>
                <w:lang w:val="mk-MK"/>
              </w:rPr>
            </w:pPr>
          </w:p>
        </w:tc>
        <w:tc>
          <w:tcPr>
            <w:tcW w:w="1257" w:type="dxa"/>
            <w:shd w:val="clear" w:color="auto" w:fill="D6E3BC" w:themeFill="accent3" w:themeFillTint="66"/>
          </w:tcPr>
          <w:p w:rsidR="00D02F72" w:rsidRPr="00D02F72" w:rsidRDefault="00D02F72" w:rsidP="00D02F72">
            <w:pPr>
              <w:autoSpaceDE w:val="0"/>
              <w:autoSpaceDN w:val="0"/>
              <w:adjustRightInd w:val="0"/>
              <w:spacing w:before="120" w:after="120"/>
              <w:jc w:val="center"/>
              <w:rPr>
                <w:rFonts w:ascii="Arial Narrow" w:hAnsi="Arial Narrow" w:cs="DejaVuSans"/>
                <w:sz w:val="28"/>
                <w:szCs w:val="28"/>
                <w:lang w:val="mk-MK"/>
              </w:rPr>
            </w:pPr>
            <w:r w:rsidRPr="00D02F72">
              <w:rPr>
                <w:rFonts w:ascii="Arial Narrow" w:hAnsi="Arial Narrow" w:cs="DejaVuSans"/>
                <w:sz w:val="28"/>
                <w:szCs w:val="28"/>
                <w:lang w:val="mk-MK"/>
              </w:rPr>
              <w:t>ТЈ</w:t>
            </w:r>
          </w:p>
        </w:tc>
        <w:tc>
          <w:tcPr>
            <w:tcW w:w="2126" w:type="dxa"/>
            <w:shd w:val="clear" w:color="auto" w:fill="D6E3BC" w:themeFill="accent3" w:themeFillTint="66"/>
          </w:tcPr>
          <w:p w:rsidR="00D02F72" w:rsidRPr="00D02F72" w:rsidRDefault="00D02F72" w:rsidP="00D02F72">
            <w:pPr>
              <w:autoSpaceDE w:val="0"/>
              <w:autoSpaceDN w:val="0"/>
              <w:adjustRightInd w:val="0"/>
              <w:spacing w:before="120" w:after="120"/>
              <w:jc w:val="center"/>
              <w:rPr>
                <w:rFonts w:ascii="Arial Narrow" w:hAnsi="Arial Narrow" w:cs="DejaVuSans"/>
                <w:sz w:val="28"/>
                <w:szCs w:val="28"/>
                <w:lang w:val="mk-MK"/>
              </w:rPr>
            </w:pPr>
            <w:r w:rsidRPr="00D02F72">
              <w:rPr>
                <w:rFonts w:ascii="Arial Narrow" w:hAnsi="Arial Narrow" w:cs="DejaVuSans"/>
                <w:sz w:val="28"/>
                <w:szCs w:val="28"/>
                <w:lang w:val="mk-MK"/>
              </w:rPr>
              <w:t>Емисии [тони CO2]</w:t>
            </w:r>
          </w:p>
        </w:tc>
        <w:tc>
          <w:tcPr>
            <w:tcW w:w="2268" w:type="dxa"/>
            <w:shd w:val="clear" w:color="auto" w:fill="D6E3BC" w:themeFill="accent3" w:themeFillTint="66"/>
          </w:tcPr>
          <w:p w:rsidR="00D02F72" w:rsidRPr="00D02F72" w:rsidRDefault="00D02F72" w:rsidP="00D02F72">
            <w:pPr>
              <w:autoSpaceDE w:val="0"/>
              <w:autoSpaceDN w:val="0"/>
              <w:adjustRightInd w:val="0"/>
              <w:spacing w:before="120" w:after="120"/>
              <w:jc w:val="center"/>
              <w:rPr>
                <w:rFonts w:ascii="Arial Narrow" w:hAnsi="Arial Narrow" w:cs="DejaVuSans"/>
                <w:sz w:val="28"/>
                <w:szCs w:val="28"/>
                <w:lang w:val="mk-MK"/>
              </w:rPr>
            </w:pPr>
            <w:r w:rsidRPr="00D02F72">
              <w:rPr>
                <w:rFonts w:ascii="Arial Narrow" w:hAnsi="Arial Narrow" w:cs="DejaVuSans"/>
                <w:sz w:val="28"/>
                <w:szCs w:val="28"/>
                <w:lang w:val="mk-MK"/>
              </w:rPr>
              <w:t>Емисии [тони CH4]</w:t>
            </w:r>
          </w:p>
        </w:tc>
        <w:tc>
          <w:tcPr>
            <w:tcW w:w="2233" w:type="dxa"/>
            <w:shd w:val="clear" w:color="auto" w:fill="D6E3BC" w:themeFill="accent3" w:themeFillTint="66"/>
          </w:tcPr>
          <w:p w:rsidR="00D02F72" w:rsidRPr="00D02F72" w:rsidRDefault="00D02F72" w:rsidP="00D02F72">
            <w:pPr>
              <w:autoSpaceDE w:val="0"/>
              <w:autoSpaceDN w:val="0"/>
              <w:adjustRightInd w:val="0"/>
              <w:spacing w:before="120" w:after="120"/>
              <w:jc w:val="center"/>
              <w:rPr>
                <w:rFonts w:ascii="Arial Narrow" w:hAnsi="Arial Narrow" w:cs="DejaVuSans"/>
                <w:sz w:val="28"/>
                <w:szCs w:val="28"/>
                <w:lang w:val="mk-MK"/>
              </w:rPr>
            </w:pPr>
            <w:r w:rsidRPr="00D02F72">
              <w:rPr>
                <w:rFonts w:ascii="Arial Narrow" w:hAnsi="Arial Narrow" w:cs="DejaVuSans"/>
                <w:sz w:val="28"/>
                <w:szCs w:val="28"/>
                <w:lang w:val="mk-MK"/>
              </w:rPr>
              <w:t>Емисии [тони N2O]</w:t>
            </w:r>
          </w:p>
        </w:tc>
      </w:tr>
      <w:tr w:rsidR="00D02F72" w:rsidRPr="00D02F72" w:rsidTr="00A07853">
        <w:tc>
          <w:tcPr>
            <w:tcW w:w="1970" w:type="dxa"/>
            <w:shd w:val="clear" w:color="auto" w:fill="D6E3BC" w:themeFill="accent3" w:themeFillTint="66"/>
          </w:tcPr>
          <w:p w:rsidR="00D02F72" w:rsidRPr="00D02F72" w:rsidRDefault="00D02F72" w:rsidP="00D02F72">
            <w:pPr>
              <w:autoSpaceDE w:val="0"/>
              <w:autoSpaceDN w:val="0"/>
              <w:adjustRightInd w:val="0"/>
              <w:spacing w:before="120" w:after="120"/>
              <w:rPr>
                <w:rFonts w:ascii="Arial Narrow" w:hAnsi="Arial Narrow" w:cs="DejaVuSans"/>
                <w:sz w:val="28"/>
                <w:szCs w:val="28"/>
                <w:lang w:val="mk-MK"/>
              </w:rPr>
            </w:pPr>
            <w:r w:rsidRPr="00D02F72">
              <w:rPr>
                <w:rFonts w:ascii="Arial Narrow" w:hAnsi="Arial Narrow" w:cs="DejaVuSans"/>
                <w:sz w:val="28"/>
                <w:szCs w:val="28"/>
                <w:lang w:val="mk-MK"/>
              </w:rPr>
              <w:t>Моторен</w:t>
            </w:r>
          </w:p>
          <w:p w:rsidR="00D02F72" w:rsidRPr="00D02F72" w:rsidRDefault="00D02F72" w:rsidP="00D02F72">
            <w:pPr>
              <w:autoSpaceDE w:val="0"/>
              <w:autoSpaceDN w:val="0"/>
              <w:adjustRightInd w:val="0"/>
              <w:spacing w:before="120" w:after="120"/>
              <w:rPr>
                <w:rFonts w:ascii="Arial Narrow" w:hAnsi="Arial Narrow" w:cs="DejaVuSans"/>
                <w:sz w:val="28"/>
                <w:szCs w:val="28"/>
                <w:lang w:val="mk-MK"/>
              </w:rPr>
            </w:pPr>
            <w:r w:rsidRPr="00D02F72">
              <w:rPr>
                <w:rFonts w:ascii="Arial Narrow" w:hAnsi="Arial Narrow" w:cs="DejaVuSans"/>
                <w:sz w:val="28"/>
                <w:szCs w:val="28"/>
                <w:lang w:val="mk-MK"/>
              </w:rPr>
              <w:t>бензин</w:t>
            </w:r>
          </w:p>
        </w:tc>
        <w:tc>
          <w:tcPr>
            <w:tcW w:w="1257"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16,36</w:t>
            </w:r>
          </w:p>
        </w:tc>
        <w:tc>
          <w:tcPr>
            <w:tcW w:w="2126"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1133,71</w:t>
            </w:r>
          </w:p>
        </w:tc>
        <w:tc>
          <w:tcPr>
            <w:tcW w:w="2268"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0,54</w:t>
            </w:r>
          </w:p>
        </w:tc>
        <w:tc>
          <w:tcPr>
            <w:tcW w:w="2233"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0,09</w:t>
            </w:r>
          </w:p>
        </w:tc>
      </w:tr>
      <w:tr w:rsidR="00D02F72" w:rsidRPr="00D02F72" w:rsidTr="00A07853">
        <w:tc>
          <w:tcPr>
            <w:tcW w:w="1970" w:type="dxa"/>
            <w:shd w:val="clear" w:color="auto" w:fill="D6E3BC" w:themeFill="accent3" w:themeFillTint="66"/>
          </w:tcPr>
          <w:p w:rsidR="00D02F72" w:rsidRPr="00D02F72" w:rsidRDefault="00D02F72" w:rsidP="00D02F72">
            <w:pPr>
              <w:autoSpaceDE w:val="0"/>
              <w:autoSpaceDN w:val="0"/>
              <w:adjustRightInd w:val="0"/>
              <w:spacing w:before="120" w:after="120"/>
              <w:rPr>
                <w:rFonts w:ascii="Arial Narrow" w:hAnsi="Arial Narrow" w:cs="DejaVuSans"/>
                <w:sz w:val="28"/>
                <w:szCs w:val="28"/>
                <w:lang w:val="mk-MK"/>
              </w:rPr>
            </w:pPr>
            <w:r w:rsidRPr="00D02F72">
              <w:rPr>
                <w:rFonts w:ascii="Arial Narrow" w:hAnsi="Arial Narrow" w:cs="DejaVuSans"/>
                <w:sz w:val="28"/>
                <w:szCs w:val="28"/>
                <w:lang w:val="mk-MK"/>
              </w:rPr>
              <w:t>Дизел</w:t>
            </w:r>
          </w:p>
        </w:tc>
        <w:tc>
          <w:tcPr>
            <w:tcW w:w="1257"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63,90</w:t>
            </w:r>
          </w:p>
        </w:tc>
        <w:tc>
          <w:tcPr>
            <w:tcW w:w="2126"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4734,94</w:t>
            </w:r>
          </w:p>
        </w:tc>
        <w:tc>
          <w:tcPr>
            <w:tcW w:w="2268"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0,25</w:t>
            </w:r>
          </w:p>
        </w:tc>
        <w:tc>
          <w:tcPr>
            <w:tcW w:w="2233"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0,25</w:t>
            </w:r>
          </w:p>
        </w:tc>
      </w:tr>
      <w:tr w:rsidR="00D02F72" w:rsidRPr="00D02F72" w:rsidTr="00A07853">
        <w:tc>
          <w:tcPr>
            <w:tcW w:w="1970" w:type="dxa"/>
            <w:shd w:val="clear" w:color="auto" w:fill="D6E3BC" w:themeFill="accent3" w:themeFillTint="66"/>
          </w:tcPr>
          <w:p w:rsidR="00D02F72" w:rsidRPr="00D02F72" w:rsidRDefault="00D02F72" w:rsidP="00D02F72">
            <w:pPr>
              <w:autoSpaceDE w:val="0"/>
              <w:autoSpaceDN w:val="0"/>
              <w:adjustRightInd w:val="0"/>
              <w:spacing w:before="120" w:after="120"/>
              <w:rPr>
                <w:rFonts w:ascii="Arial Narrow" w:hAnsi="Arial Narrow" w:cs="DejaVuSans"/>
                <w:sz w:val="28"/>
                <w:szCs w:val="28"/>
                <w:lang w:val="mk-MK"/>
              </w:rPr>
            </w:pPr>
            <w:r w:rsidRPr="00D02F72">
              <w:rPr>
                <w:rFonts w:ascii="Arial Narrow" w:hAnsi="Arial Narrow" w:cs="DejaVuSans"/>
                <w:sz w:val="28"/>
                <w:szCs w:val="28"/>
                <w:lang w:val="mk-MK"/>
              </w:rPr>
              <w:t>ТНГ</w:t>
            </w:r>
          </w:p>
        </w:tc>
        <w:tc>
          <w:tcPr>
            <w:tcW w:w="1257"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0,00</w:t>
            </w:r>
          </w:p>
        </w:tc>
        <w:tc>
          <w:tcPr>
            <w:tcW w:w="2126"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0,00</w:t>
            </w:r>
          </w:p>
        </w:tc>
        <w:tc>
          <w:tcPr>
            <w:tcW w:w="2268"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0,00</w:t>
            </w:r>
          </w:p>
        </w:tc>
        <w:tc>
          <w:tcPr>
            <w:tcW w:w="2233"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0,00</w:t>
            </w:r>
          </w:p>
        </w:tc>
      </w:tr>
      <w:tr w:rsidR="00D02F72" w:rsidRPr="00D02F72" w:rsidTr="00A07853">
        <w:tc>
          <w:tcPr>
            <w:tcW w:w="7621" w:type="dxa"/>
            <w:gridSpan w:val="4"/>
            <w:shd w:val="clear" w:color="auto" w:fill="76923C" w:themeFill="accent3" w:themeFillShade="BF"/>
          </w:tcPr>
          <w:p w:rsidR="00D02F72" w:rsidRPr="00D02F72" w:rsidRDefault="00D02F72" w:rsidP="00D02F72">
            <w:pPr>
              <w:tabs>
                <w:tab w:val="left" w:pos="4772"/>
              </w:tabs>
              <w:autoSpaceDE w:val="0"/>
              <w:autoSpaceDN w:val="0"/>
              <w:adjustRightInd w:val="0"/>
              <w:spacing w:before="120" w:after="120"/>
              <w:rPr>
                <w:rFonts w:ascii="Arial Narrow" w:hAnsi="Arial Narrow" w:cs="DejaVuSans"/>
                <w:sz w:val="28"/>
                <w:szCs w:val="28"/>
                <w:lang w:val="mk-MK"/>
              </w:rPr>
            </w:pPr>
            <w:r w:rsidRPr="00D02F72">
              <w:rPr>
                <w:rFonts w:ascii="Arial Narrow" w:hAnsi="Arial Narrow" w:cs="DejaVuSans"/>
                <w:sz w:val="28"/>
                <w:szCs w:val="28"/>
                <w:lang w:val="mk-MK"/>
              </w:rPr>
              <w:tab/>
              <w:t>Вкупно [тони CO2-екв]</w:t>
            </w:r>
          </w:p>
        </w:tc>
        <w:tc>
          <w:tcPr>
            <w:tcW w:w="2233" w:type="dxa"/>
            <w:shd w:val="clear" w:color="auto" w:fill="76923C" w:themeFill="accent3" w:themeFillShade="BF"/>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Bold"/>
                <w:b/>
                <w:bCs/>
                <w:sz w:val="28"/>
                <w:szCs w:val="28"/>
                <w:lang w:val="mk-MK"/>
              </w:rPr>
              <w:t>5990,88</w:t>
            </w:r>
          </w:p>
        </w:tc>
      </w:tr>
    </w:tbl>
    <w:p w:rsidR="00D02F72" w:rsidRPr="00D02F72" w:rsidRDefault="00D02F72" w:rsidP="00D02F72">
      <w:pPr>
        <w:keepNext/>
        <w:numPr>
          <w:ilvl w:val="2"/>
          <w:numId w:val="0"/>
        </w:numPr>
        <w:tabs>
          <w:tab w:val="left" w:pos="1134"/>
        </w:tabs>
        <w:spacing w:before="400" w:line="300" w:lineRule="exact"/>
        <w:ind w:left="1134" w:hanging="1134"/>
        <w:outlineLvl w:val="2"/>
        <w:rPr>
          <w:rFonts w:ascii="Arial Black" w:hAnsi="Arial Black" w:cs="Times New Roman"/>
          <w:b/>
          <w:bCs/>
          <w:color w:val="4F6228"/>
          <w:lang w:val="mk-MK" w:eastAsia="en-GB"/>
        </w:rPr>
      </w:pPr>
      <w:bookmarkStart w:id="17" w:name="_Toc382343192"/>
      <w:bookmarkStart w:id="18" w:name="_Toc382343493"/>
      <w:bookmarkStart w:id="19" w:name="_Toc382343805"/>
      <w:bookmarkStart w:id="20" w:name="_Toc382344114"/>
      <w:bookmarkStart w:id="21" w:name="_Toc382343193"/>
      <w:bookmarkStart w:id="22" w:name="_Toc382343494"/>
      <w:bookmarkStart w:id="23" w:name="_Toc382343806"/>
      <w:bookmarkStart w:id="24" w:name="_Toc382344115"/>
      <w:bookmarkStart w:id="25" w:name="_Toc382344116"/>
      <w:bookmarkEnd w:id="17"/>
      <w:bookmarkEnd w:id="18"/>
      <w:bookmarkEnd w:id="19"/>
      <w:bookmarkEnd w:id="20"/>
      <w:bookmarkEnd w:id="21"/>
      <w:bookmarkEnd w:id="22"/>
      <w:bookmarkEnd w:id="23"/>
      <w:bookmarkEnd w:id="24"/>
      <w:r w:rsidRPr="00D02F72">
        <w:rPr>
          <w:rFonts w:ascii="Arial Black" w:hAnsi="Arial Black" w:cs="Times New Roman"/>
          <w:b/>
          <w:bCs/>
          <w:color w:val="4F6228"/>
          <w:lang w:val="mk-MK" w:eastAsia="en-GB"/>
        </w:rPr>
        <w:lastRenderedPageBreak/>
        <w:t>Земјоделство</w:t>
      </w:r>
      <w:bookmarkEnd w:id="25"/>
    </w:p>
    <w:p w:rsidR="00D02F72" w:rsidRPr="00D02F72" w:rsidRDefault="00D02F72" w:rsidP="00D02F72">
      <w:pPr>
        <w:keepNext/>
        <w:numPr>
          <w:ilvl w:val="3"/>
          <w:numId w:val="0"/>
        </w:numPr>
        <w:spacing w:before="200" w:line="300" w:lineRule="exact"/>
        <w:ind w:left="1134" w:hanging="1134"/>
        <w:outlineLvl w:val="3"/>
        <w:rPr>
          <w:rFonts w:ascii="Arial" w:eastAsia="Times New Roman" w:hAnsi="Arial" w:cs="Arial"/>
          <w:bCs/>
          <w:noProof/>
          <w:color w:val="4F6228"/>
          <w:lang w:val="mk-MK"/>
          <w14:textFill>
            <w14:solidFill>
              <w14:srgbClr w14:val="4F6228">
                <w14:lumMod w14:val="50000"/>
              </w14:srgbClr>
            </w14:solidFill>
          </w14:textFill>
        </w:rPr>
      </w:pPr>
      <w:r w:rsidRPr="00D02F72">
        <w:rPr>
          <w:rFonts w:ascii="Arial" w:eastAsia="Times New Roman" w:hAnsi="Arial" w:cs="Arial"/>
          <w:bCs/>
          <w:noProof/>
          <w:color w:val="4F6228"/>
          <w:lang w:val="mk-MK"/>
          <w14:textFill>
            <w14:solidFill>
              <w14:srgbClr w14:val="4F6228">
                <w14:lumMod w14:val="50000"/>
              </w14:srgbClr>
            </w14:solidFill>
          </w14:textFill>
        </w:rPr>
        <w:t>Емисии на метан од ентерична ферментација</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Метанот се емитува како дел од нормалниот дигестивен процес кај животните. Количеството на емитуван метан зависи од две основни работи:</w:t>
      </w:r>
    </w:p>
    <w:p w:rsidR="00D02F72" w:rsidRPr="00D02F72" w:rsidRDefault="00D02F72" w:rsidP="00D02F72">
      <w:pPr>
        <w:numPr>
          <w:ilvl w:val="1"/>
          <w:numId w:val="0"/>
        </w:num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Типот на дигестивен систем кај животните има значително влијание врз стапката на емисии на метан. Преживарите имаат најголема стапка на емисии поради тоа што значителна количина на метан се произведува при ферментацијата на храната во бурагот (преден желудник). Во пресметките за инвентарот, како преживари се вброени говедата, козите и овците. Псевдо - преживарите (коњите, мазгите и магарињата) и моногастричните животни (свињите), релативно помалку емитуваат метан при варењето на храната.</w:t>
      </w:r>
    </w:p>
    <w:p w:rsidR="00D02F72" w:rsidRPr="00D02F72" w:rsidRDefault="00D02F72" w:rsidP="00D02F72">
      <w:pPr>
        <w:numPr>
          <w:ilvl w:val="1"/>
          <w:numId w:val="0"/>
        </w:num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Видот и количината на храна со која се хранат животните имаат значајна улога во количината на емитуван метан. Логично, поголемо количество на храна доведува до поголеми емисии. Количината на внесена храна зависи од големината на животното, брзината на раст и производството (на пр. производство на млеко, производство на волна, бременост, итн.).</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За проценка на емисиите на метан од ентерична ферментација, искористена е методологија која е во согласност со Ревидираните прирачници на ИПЦЦ и истата е спроведена во 3 основни чекори:</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Чекор 1: Поделба на популацијата на домашни животни на подгрупи и карактеризација на секоја од нив. Препорачливо е да се користат просечни годишни вредности имајќи ги во предвид производните циклуси и сезонските влијанија врз бројот на популацијата.</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Чекор 2: Проценка на емисионите фактори по подгрупа, изразена во килограми метан по животно по година.</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Чекор 3: Множење на емисионите фактори од подгрупите со популацијата на подгрупите со цел да се проценат емисиите на дадена подгрупа и собирање на вредностите од сите подгрупи за да се добијат вкупните емисии.</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Ратата на активност, односно бројот на животни, е добиена од НВО во општина Богданци. Емисионите фактори за ентерична ферментација се превземени од Ревидираните Прирачници на ИПЦЦ.</w:t>
      </w:r>
    </w:p>
    <w:p w:rsidR="00D02F72" w:rsidRPr="00D02F72" w:rsidRDefault="00D02F72" w:rsidP="00D02F72">
      <w:pPr>
        <w:keepNext/>
        <w:tabs>
          <w:tab w:val="left" w:pos="1701"/>
        </w:tabs>
        <w:spacing w:before="120" w:after="120" w:line="240" w:lineRule="auto"/>
        <w:ind w:left="1701" w:right="567" w:hanging="1134"/>
        <w:rPr>
          <w:rFonts w:ascii="StobiSerifIt Regular" w:hAnsi="StobiSerifIt Regular"/>
          <w:i/>
          <w:color w:val="4F6228" w:themeColor="accent3" w:themeShade="80"/>
          <w:lang w:val="mk-MK" w:eastAsia="en-GB"/>
        </w:rPr>
      </w:pPr>
      <w:r w:rsidRPr="00D02F72">
        <w:rPr>
          <w:rFonts w:ascii="StobiSerifIt Regular" w:hAnsi="StobiSerifIt Regular"/>
          <w:i/>
          <w:color w:val="4F6228" w:themeColor="accent3" w:themeShade="80"/>
          <w:lang w:val="mk-MK" w:eastAsia="en-GB"/>
        </w:rPr>
        <w:lastRenderedPageBreak/>
        <w:t>Емисиите на метан од ентерична ферментација за 2012 година во Општина Богданци</w:t>
      </w:r>
    </w:p>
    <w:tbl>
      <w:tblPr>
        <w:tblStyle w:val="TableGrid"/>
        <w:tblW w:w="0" w:type="auto"/>
        <w:jc w:val="center"/>
        <w:tblInd w:w="-54" w:type="dxa"/>
        <w:tblLook w:val="04A0" w:firstRow="1" w:lastRow="0" w:firstColumn="1" w:lastColumn="0" w:noHBand="0" w:noVBand="1"/>
      </w:tblPr>
      <w:tblGrid>
        <w:gridCol w:w="3375"/>
        <w:gridCol w:w="1276"/>
        <w:gridCol w:w="2275"/>
        <w:gridCol w:w="2658"/>
      </w:tblGrid>
      <w:tr w:rsidR="00D02F72" w:rsidRPr="00D02F72" w:rsidTr="00A07853">
        <w:trPr>
          <w:jc w:val="center"/>
        </w:trPr>
        <w:tc>
          <w:tcPr>
            <w:tcW w:w="3375"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Bold"/>
                <w:b/>
                <w:bCs/>
                <w:sz w:val="28"/>
                <w:szCs w:val="28"/>
                <w:lang w:val="mk-MK"/>
              </w:rPr>
              <w:t>Вид на животно</w:t>
            </w:r>
          </w:p>
        </w:tc>
        <w:tc>
          <w:tcPr>
            <w:tcW w:w="1276"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Број на</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животни</w:t>
            </w:r>
          </w:p>
        </w:tc>
        <w:tc>
          <w:tcPr>
            <w:tcW w:w="2275"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Емисионен фактор за</w:t>
            </w:r>
          </w:p>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Bold"/>
                <w:b/>
                <w:bCs/>
                <w:sz w:val="28"/>
                <w:szCs w:val="28"/>
                <w:lang w:val="mk-MK"/>
              </w:rPr>
              <w:t>ентерична ферментација</w:t>
            </w:r>
          </w:p>
        </w:tc>
        <w:tc>
          <w:tcPr>
            <w:tcW w:w="2658"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Емисии на метан од</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Ентерична ферментација</w:t>
            </w:r>
          </w:p>
        </w:tc>
      </w:tr>
      <w:tr w:rsidR="00D02F72" w:rsidRPr="00D02F72" w:rsidTr="00A07853">
        <w:trPr>
          <w:jc w:val="center"/>
        </w:trPr>
        <w:tc>
          <w:tcPr>
            <w:tcW w:w="3375" w:type="dxa"/>
            <w:shd w:val="clear" w:color="auto" w:fill="EAF1DD" w:themeFill="accent3" w:themeFillTint="33"/>
          </w:tcPr>
          <w:p w:rsidR="00D02F72" w:rsidRPr="00D02F72" w:rsidRDefault="00D02F72" w:rsidP="00D02F72">
            <w:pPr>
              <w:autoSpaceDE w:val="0"/>
              <w:autoSpaceDN w:val="0"/>
              <w:adjustRightInd w:val="0"/>
              <w:spacing w:before="120" w:after="120"/>
              <w:rPr>
                <w:rFonts w:ascii="Arial Narrow" w:hAnsi="Arial Narrow" w:cs="DejaVuSans"/>
                <w:sz w:val="28"/>
                <w:szCs w:val="28"/>
                <w:lang w:val="mk-MK"/>
              </w:rPr>
            </w:pPr>
          </w:p>
        </w:tc>
        <w:tc>
          <w:tcPr>
            <w:tcW w:w="1276" w:type="dxa"/>
            <w:shd w:val="clear" w:color="auto" w:fill="EAF1DD" w:themeFill="accent3" w:themeFillTint="33"/>
          </w:tcPr>
          <w:p w:rsidR="00D02F72" w:rsidRPr="00D02F72" w:rsidRDefault="00D02F72" w:rsidP="00D02F72">
            <w:pPr>
              <w:autoSpaceDE w:val="0"/>
              <w:autoSpaceDN w:val="0"/>
              <w:adjustRightInd w:val="0"/>
              <w:spacing w:before="120" w:after="120"/>
              <w:jc w:val="both"/>
              <w:rPr>
                <w:rFonts w:ascii="Arial Narrow" w:hAnsi="Arial Narrow" w:cs="DejaVuSans"/>
                <w:sz w:val="28"/>
                <w:szCs w:val="28"/>
                <w:lang w:val="mk-MK"/>
              </w:rPr>
            </w:pPr>
          </w:p>
        </w:tc>
        <w:tc>
          <w:tcPr>
            <w:tcW w:w="2275" w:type="dxa"/>
            <w:shd w:val="clear" w:color="auto" w:fill="EAF1DD" w:themeFill="accent3" w:themeFillTint="33"/>
          </w:tcPr>
          <w:p w:rsidR="00D02F72" w:rsidRPr="00D02F72" w:rsidRDefault="00D02F72" w:rsidP="00D02F72">
            <w:pPr>
              <w:autoSpaceDE w:val="0"/>
              <w:autoSpaceDN w:val="0"/>
              <w:adjustRightInd w:val="0"/>
              <w:spacing w:before="120" w:after="120"/>
              <w:jc w:val="both"/>
              <w:rPr>
                <w:rFonts w:ascii="Arial Narrow" w:hAnsi="Arial Narrow" w:cs="DejaVuSans"/>
                <w:sz w:val="28"/>
                <w:szCs w:val="28"/>
                <w:lang w:val="mk-MK"/>
              </w:rPr>
            </w:pPr>
            <w:r w:rsidRPr="00D02F72">
              <w:rPr>
                <w:rFonts w:ascii="Arial Narrow" w:hAnsi="Arial Narrow" w:cs="DejaVuSans"/>
                <w:sz w:val="28"/>
                <w:szCs w:val="28"/>
                <w:lang w:val="mk-MK"/>
              </w:rPr>
              <w:t>(кг/грло/год)</w:t>
            </w:r>
          </w:p>
        </w:tc>
        <w:tc>
          <w:tcPr>
            <w:tcW w:w="2658" w:type="dxa"/>
            <w:shd w:val="clear" w:color="auto" w:fill="EAF1DD" w:themeFill="accent3" w:themeFillTint="33"/>
          </w:tcPr>
          <w:p w:rsidR="00D02F72" w:rsidRPr="00D02F72" w:rsidRDefault="00D02F72" w:rsidP="00D02F72">
            <w:pPr>
              <w:autoSpaceDE w:val="0"/>
              <w:autoSpaceDN w:val="0"/>
              <w:adjustRightInd w:val="0"/>
              <w:spacing w:before="120" w:after="120"/>
              <w:jc w:val="both"/>
              <w:rPr>
                <w:rFonts w:ascii="Arial Narrow" w:hAnsi="Arial Narrow" w:cs="DejaVuSans"/>
                <w:sz w:val="28"/>
                <w:szCs w:val="28"/>
                <w:lang w:val="mk-MK"/>
              </w:rPr>
            </w:pPr>
            <w:r w:rsidRPr="00D02F72">
              <w:rPr>
                <w:rFonts w:ascii="Arial Narrow" w:hAnsi="Arial Narrow" w:cs="DejaVuSans"/>
                <w:sz w:val="28"/>
                <w:szCs w:val="28"/>
                <w:lang w:val="mk-MK"/>
              </w:rPr>
              <w:t>(тони/год)</w:t>
            </w:r>
          </w:p>
        </w:tc>
      </w:tr>
      <w:tr w:rsidR="00D02F72" w:rsidRPr="00D02F72" w:rsidTr="00A07853">
        <w:trPr>
          <w:jc w:val="center"/>
        </w:trPr>
        <w:tc>
          <w:tcPr>
            <w:tcW w:w="3375" w:type="dxa"/>
            <w:shd w:val="clear" w:color="auto" w:fill="EAF1DD" w:themeFill="accent3" w:themeFillTint="33"/>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Говеда што даваат млеко-</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крави</w:t>
            </w:r>
          </w:p>
        </w:tc>
        <w:tc>
          <w:tcPr>
            <w:tcW w:w="1276"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1021</w:t>
            </w:r>
          </w:p>
        </w:tc>
        <w:tc>
          <w:tcPr>
            <w:tcW w:w="2275"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81</w:t>
            </w:r>
          </w:p>
        </w:tc>
        <w:tc>
          <w:tcPr>
            <w:tcW w:w="2658"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82,7</w:t>
            </w:r>
          </w:p>
        </w:tc>
      </w:tr>
      <w:tr w:rsidR="00D02F72" w:rsidRPr="00D02F72" w:rsidTr="00A07853">
        <w:trPr>
          <w:jc w:val="center"/>
        </w:trPr>
        <w:tc>
          <w:tcPr>
            <w:tcW w:w="3375" w:type="dxa"/>
            <w:shd w:val="clear" w:color="auto" w:fill="EAF1DD" w:themeFill="accent3" w:themeFillTint="33"/>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Говеда што не даваат</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млеко</w:t>
            </w:r>
          </w:p>
        </w:tc>
        <w:tc>
          <w:tcPr>
            <w:tcW w:w="1276"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217</w:t>
            </w:r>
          </w:p>
        </w:tc>
        <w:tc>
          <w:tcPr>
            <w:tcW w:w="2275"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56</w:t>
            </w:r>
          </w:p>
        </w:tc>
        <w:tc>
          <w:tcPr>
            <w:tcW w:w="2658"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12,15</w:t>
            </w:r>
          </w:p>
        </w:tc>
      </w:tr>
      <w:tr w:rsidR="00D02F72" w:rsidRPr="00D02F72" w:rsidTr="00A07853">
        <w:trPr>
          <w:jc w:val="center"/>
        </w:trPr>
        <w:tc>
          <w:tcPr>
            <w:tcW w:w="3375" w:type="dxa"/>
            <w:shd w:val="clear" w:color="auto" w:fill="EAF1DD" w:themeFill="accent3" w:themeFillTint="33"/>
          </w:tcPr>
          <w:p w:rsidR="00D02F72" w:rsidRPr="00D02F72" w:rsidRDefault="00D02F72" w:rsidP="00D02F72">
            <w:pPr>
              <w:autoSpaceDE w:val="0"/>
              <w:autoSpaceDN w:val="0"/>
              <w:adjustRightInd w:val="0"/>
              <w:spacing w:before="120" w:after="120"/>
              <w:rPr>
                <w:rFonts w:ascii="Arial Narrow" w:hAnsi="Arial Narrow" w:cs="DejaVuSans"/>
                <w:sz w:val="28"/>
                <w:szCs w:val="28"/>
                <w:lang w:val="mk-MK"/>
              </w:rPr>
            </w:pPr>
            <w:r w:rsidRPr="00D02F72">
              <w:rPr>
                <w:rFonts w:ascii="Arial Narrow" w:hAnsi="Arial Narrow" w:cs="DejaVuSans"/>
                <w:sz w:val="28"/>
                <w:szCs w:val="28"/>
                <w:lang w:val="mk-MK"/>
              </w:rPr>
              <w:t>Овци</w:t>
            </w:r>
          </w:p>
        </w:tc>
        <w:tc>
          <w:tcPr>
            <w:tcW w:w="1276"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7745</w:t>
            </w:r>
          </w:p>
        </w:tc>
        <w:tc>
          <w:tcPr>
            <w:tcW w:w="2275"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5</w:t>
            </w:r>
          </w:p>
        </w:tc>
        <w:tc>
          <w:tcPr>
            <w:tcW w:w="2658"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38,73</w:t>
            </w:r>
          </w:p>
        </w:tc>
      </w:tr>
      <w:tr w:rsidR="00D02F72" w:rsidRPr="00D02F72" w:rsidTr="00A07853">
        <w:trPr>
          <w:jc w:val="center"/>
        </w:trPr>
        <w:tc>
          <w:tcPr>
            <w:tcW w:w="3375" w:type="dxa"/>
            <w:shd w:val="clear" w:color="auto" w:fill="EAF1DD" w:themeFill="accent3" w:themeFillTint="33"/>
          </w:tcPr>
          <w:p w:rsidR="00D02F72" w:rsidRPr="00D02F72" w:rsidRDefault="00D02F72" w:rsidP="00D02F72">
            <w:pPr>
              <w:autoSpaceDE w:val="0"/>
              <w:autoSpaceDN w:val="0"/>
              <w:adjustRightInd w:val="0"/>
              <w:spacing w:before="120" w:after="120"/>
              <w:rPr>
                <w:rFonts w:ascii="Arial Narrow" w:hAnsi="Arial Narrow" w:cs="DejaVuSans"/>
                <w:sz w:val="28"/>
                <w:szCs w:val="28"/>
                <w:lang w:val="mk-MK"/>
              </w:rPr>
            </w:pPr>
            <w:r w:rsidRPr="00D02F72">
              <w:rPr>
                <w:rFonts w:ascii="Arial Narrow" w:hAnsi="Arial Narrow" w:cs="DejaVuSans"/>
                <w:sz w:val="28"/>
                <w:szCs w:val="28"/>
                <w:lang w:val="mk-MK"/>
              </w:rPr>
              <w:t>Кози</w:t>
            </w:r>
          </w:p>
        </w:tc>
        <w:tc>
          <w:tcPr>
            <w:tcW w:w="1276"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380</w:t>
            </w:r>
          </w:p>
        </w:tc>
        <w:tc>
          <w:tcPr>
            <w:tcW w:w="2275"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5</w:t>
            </w:r>
          </w:p>
        </w:tc>
        <w:tc>
          <w:tcPr>
            <w:tcW w:w="2658"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1,90</w:t>
            </w:r>
          </w:p>
        </w:tc>
      </w:tr>
      <w:tr w:rsidR="00D02F72" w:rsidRPr="00D02F72" w:rsidTr="00A07853">
        <w:trPr>
          <w:jc w:val="center"/>
        </w:trPr>
        <w:tc>
          <w:tcPr>
            <w:tcW w:w="3375" w:type="dxa"/>
            <w:shd w:val="clear" w:color="auto" w:fill="EAF1DD" w:themeFill="accent3" w:themeFillTint="33"/>
          </w:tcPr>
          <w:p w:rsidR="00D02F72" w:rsidRPr="00D02F72" w:rsidRDefault="00D02F72" w:rsidP="00D02F72">
            <w:pPr>
              <w:autoSpaceDE w:val="0"/>
              <w:autoSpaceDN w:val="0"/>
              <w:adjustRightInd w:val="0"/>
              <w:spacing w:before="120" w:after="120"/>
              <w:rPr>
                <w:rFonts w:ascii="Arial Narrow" w:hAnsi="Arial Narrow" w:cs="DejaVuSans"/>
                <w:sz w:val="28"/>
                <w:szCs w:val="28"/>
                <w:lang w:val="mk-MK"/>
              </w:rPr>
            </w:pPr>
            <w:r w:rsidRPr="00D02F72">
              <w:rPr>
                <w:rFonts w:ascii="Arial Narrow" w:hAnsi="Arial Narrow" w:cs="DejaVuSans"/>
                <w:sz w:val="28"/>
                <w:szCs w:val="28"/>
                <w:lang w:val="mk-MK"/>
              </w:rPr>
              <w:t>Коњи</w:t>
            </w:r>
          </w:p>
        </w:tc>
        <w:tc>
          <w:tcPr>
            <w:tcW w:w="1276"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335</w:t>
            </w:r>
          </w:p>
        </w:tc>
        <w:tc>
          <w:tcPr>
            <w:tcW w:w="2275"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18</w:t>
            </w:r>
          </w:p>
        </w:tc>
        <w:tc>
          <w:tcPr>
            <w:tcW w:w="2658"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6,03</w:t>
            </w:r>
          </w:p>
        </w:tc>
      </w:tr>
      <w:tr w:rsidR="00D02F72" w:rsidRPr="00D02F72" w:rsidTr="00A07853">
        <w:trPr>
          <w:jc w:val="center"/>
        </w:trPr>
        <w:tc>
          <w:tcPr>
            <w:tcW w:w="3375" w:type="dxa"/>
            <w:shd w:val="clear" w:color="auto" w:fill="EAF1DD" w:themeFill="accent3" w:themeFillTint="33"/>
          </w:tcPr>
          <w:p w:rsidR="00D02F72" w:rsidRPr="00D02F72" w:rsidRDefault="00D02F72" w:rsidP="00D02F72">
            <w:pPr>
              <w:autoSpaceDE w:val="0"/>
              <w:autoSpaceDN w:val="0"/>
              <w:adjustRightInd w:val="0"/>
              <w:spacing w:before="120" w:after="120"/>
              <w:rPr>
                <w:rFonts w:ascii="Arial Narrow" w:hAnsi="Arial Narrow" w:cs="DejaVuSans"/>
                <w:sz w:val="28"/>
                <w:szCs w:val="28"/>
                <w:lang w:val="mk-MK"/>
              </w:rPr>
            </w:pPr>
            <w:r w:rsidRPr="00D02F72">
              <w:rPr>
                <w:rFonts w:ascii="Arial Narrow" w:hAnsi="Arial Narrow" w:cs="DejaVuSans"/>
                <w:sz w:val="28"/>
                <w:szCs w:val="28"/>
                <w:lang w:val="mk-MK"/>
              </w:rPr>
              <w:t>Мазги и магариња</w:t>
            </w:r>
          </w:p>
        </w:tc>
        <w:tc>
          <w:tcPr>
            <w:tcW w:w="1276"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174</w:t>
            </w:r>
          </w:p>
        </w:tc>
        <w:tc>
          <w:tcPr>
            <w:tcW w:w="2275"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p>
        </w:tc>
        <w:tc>
          <w:tcPr>
            <w:tcW w:w="2658"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0,00</w:t>
            </w:r>
          </w:p>
        </w:tc>
      </w:tr>
      <w:tr w:rsidR="00D02F72" w:rsidRPr="00D02F72" w:rsidTr="00A07853">
        <w:trPr>
          <w:jc w:val="center"/>
        </w:trPr>
        <w:tc>
          <w:tcPr>
            <w:tcW w:w="3375" w:type="dxa"/>
            <w:shd w:val="clear" w:color="auto" w:fill="EAF1DD" w:themeFill="accent3" w:themeFillTint="33"/>
          </w:tcPr>
          <w:p w:rsidR="00D02F72" w:rsidRPr="00D02F72" w:rsidRDefault="00D02F72" w:rsidP="00D02F72">
            <w:pPr>
              <w:autoSpaceDE w:val="0"/>
              <w:autoSpaceDN w:val="0"/>
              <w:adjustRightInd w:val="0"/>
              <w:spacing w:before="120" w:after="120"/>
              <w:rPr>
                <w:rFonts w:ascii="Arial Narrow" w:hAnsi="Arial Narrow" w:cs="DejaVuSans"/>
                <w:sz w:val="28"/>
                <w:szCs w:val="28"/>
                <w:lang w:val="mk-MK"/>
              </w:rPr>
            </w:pPr>
            <w:r w:rsidRPr="00D02F72">
              <w:rPr>
                <w:rFonts w:ascii="Arial Narrow" w:hAnsi="Arial Narrow" w:cs="DejaVuSans"/>
                <w:sz w:val="28"/>
                <w:szCs w:val="28"/>
                <w:lang w:val="mk-MK"/>
              </w:rPr>
              <w:t>Свињи</w:t>
            </w:r>
          </w:p>
        </w:tc>
        <w:tc>
          <w:tcPr>
            <w:tcW w:w="1276"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774</w:t>
            </w:r>
          </w:p>
        </w:tc>
        <w:tc>
          <w:tcPr>
            <w:tcW w:w="2275"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1</w:t>
            </w:r>
          </w:p>
        </w:tc>
        <w:tc>
          <w:tcPr>
            <w:tcW w:w="2658"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0,77</w:t>
            </w:r>
          </w:p>
        </w:tc>
      </w:tr>
      <w:tr w:rsidR="00D02F72" w:rsidRPr="00D02F72" w:rsidTr="00A07853">
        <w:trPr>
          <w:jc w:val="center"/>
        </w:trPr>
        <w:tc>
          <w:tcPr>
            <w:tcW w:w="3375" w:type="dxa"/>
            <w:shd w:val="clear" w:color="auto" w:fill="EAF1DD" w:themeFill="accent3" w:themeFillTint="33"/>
          </w:tcPr>
          <w:p w:rsidR="00D02F72" w:rsidRPr="00D02F72" w:rsidRDefault="00D02F72" w:rsidP="00D02F72">
            <w:pPr>
              <w:autoSpaceDE w:val="0"/>
              <w:autoSpaceDN w:val="0"/>
              <w:adjustRightInd w:val="0"/>
              <w:spacing w:before="120" w:after="120"/>
              <w:rPr>
                <w:rFonts w:ascii="Arial Narrow" w:hAnsi="Arial Narrow" w:cs="DejaVuSans"/>
                <w:sz w:val="28"/>
                <w:szCs w:val="28"/>
                <w:lang w:val="mk-MK"/>
              </w:rPr>
            </w:pPr>
            <w:r w:rsidRPr="00D02F72">
              <w:rPr>
                <w:rFonts w:ascii="Arial Narrow" w:hAnsi="Arial Narrow" w:cs="DejaVuSans"/>
                <w:sz w:val="28"/>
                <w:szCs w:val="28"/>
                <w:lang w:val="mk-MK"/>
              </w:rPr>
              <w:t>Живина</w:t>
            </w:r>
          </w:p>
        </w:tc>
        <w:tc>
          <w:tcPr>
            <w:tcW w:w="1276"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4122</w:t>
            </w:r>
          </w:p>
        </w:tc>
        <w:tc>
          <w:tcPr>
            <w:tcW w:w="2275"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p>
        </w:tc>
        <w:tc>
          <w:tcPr>
            <w:tcW w:w="2658"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0,00</w:t>
            </w:r>
          </w:p>
        </w:tc>
      </w:tr>
      <w:tr w:rsidR="00D02F72" w:rsidRPr="00D02F72" w:rsidTr="00A07853">
        <w:trPr>
          <w:jc w:val="center"/>
        </w:trPr>
        <w:tc>
          <w:tcPr>
            <w:tcW w:w="6926" w:type="dxa"/>
            <w:gridSpan w:val="3"/>
            <w:shd w:val="clear" w:color="auto" w:fill="EAF1DD" w:themeFill="accent3" w:themeFillTint="33"/>
          </w:tcPr>
          <w:p w:rsidR="00D02F72" w:rsidRPr="00D02F72" w:rsidRDefault="00D02F72" w:rsidP="00D02F72">
            <w:pPr>
              <w:autoSpaceDE w:val="0"/>
              <w:autoSpaceDN w:val="0"/>
              <w:adjustRightInd w:val="0"/>
              <w:spacing w:before="120" w:after="120"/>
              <w:jc w:val="center"/>
              <w:rPr>
                <w:rFonts w:ascii="Arial Narrow" w:hAnsi="Arial Narrow" w:cs="DejaVuSans"/>
                <w:sz w:val="28"/>
                <w:szCs w:val="28"/>
                <w:lang w:val="mk-MK"/>
              </w:rPr>
            </w:pPr>
            <w:r w:rsidRPr="00D02F72">
              <w:rPr>
                <w:rFonts w:ascii="Arial Narrow" w:hAnsi="Arial Narrow" w:cs="DejaVuSans-Bold"/>
                <w:b/>
                <w:bCs/>
                <w:sz w:val="28"/>
                <w:szCs w:val="28"/>
                <w:lang w:val="mk-MK"/>
              </w:rPr>
              <w:t>Вкупно</w:t>
            </w:r>
          </w:p>
        </w:tc>
        <w:tc>
          <w:tcPr>
            <w:tcW w:w="2658" w:type="dxa"/>
            <w:shd w:val="clear" w:color="auto" w:fill="76923C" w:themeFill="accent3" w:themeFillShade="BF"/>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142,28</w:t>
            </w:r>
          </w:p>
        </w:tc>
      </w:tr>
    </w:tbl>
    <w:p w:rsidR="00D02F72" w:rsidRPr="00D02F72" w:rsidRDefault="00D02F72" w:rsidP="00D02F72">
      <w:pPr>
        <w:spacing w:line="300" w:lineRule="exact"/>
        <w:jc w:val="both"/>
        <w:rPr>
          <w:rFonts w:ascii="Arial" w:eastAsia="Calibri" w:hAnsi="Arial" w:cs="Arial"/>
          <w:lang w:val="mk-MK"/>
        </w:rPr>
      </w:pP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Емисиите на метан од ентерична ферментација за 2012 година во Општина Богданци изнесуваат 142,28 тони односно 2987,88 тони CO2-екв.</w:t>
      </w:r>
    </w:p>
    <w:p w:rsidR="00D02F72" w:rsidRPr="00D02F72" w:rsidRDefault="00D02F72" w:rsidP="00D02F72">
      <w:pPr>
        <w:keepNext/>
        <w:numPr>
          <w:ilvl w:val="3"/>
          <w:numId w:val="0"/>
        </w:numPr>
        <w:spacing w:before="200" w:line="300" w:lineRule="exact"/>
        <w:ind w:left="1134" w:hanging="1134"/>
        <w:outlineLvl w:val="3"/>
        <w:rPr>
          <w:rFonts w:ascii="Arial" w:hAnsi="Arial" w:cs="Arial"/>
          <w:bCs/>
          <w:color w:val="4F6228"/>
          <w:lang w:val="mk-MK"/>
          <w14:textFill>
            <w14:solidFill>
              <w14:srgbClr w14:val="4F6228">
                <w14:lumMod w14:val="50000"/>
              </w14:srgbClr>
            </w14:solidFill>
          </w14:textFill>
        </w:rPr>
      </w:pPr>
      <w:r w:rsidRPr="00D02F72">
        <w:rPr>
          <w:rFonts w:ascii="Arial" w:hAnsi="Arial" w:cs="Arial"/>
          <w:bCs/>
          <w:color w:val="4F6228"/>
          <w:lang w:val="mk-MK"/>
          <w14:textFill>
            <w14:solidFill>
              <w14:srgbClr w14:val="4F6228">
                <w14:lumMod w14:val="50000"/>
              </w14:srgbClr>
            </w14:solidFill>
          </w14:textFill>
        </w:rPr>
        <w:t>Емисии на метан од управување со ѓубрива</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 xml:space="preserve">Изразот „ѓубриво” се употребува заеднички за фецес и урина (цврсти и течни материи) кои потекнуваат од животните. Распаѓањето на ѓубривата под анаеробни услови (во отсуство на кислород), при складирање и обработка, произведува метан. Ваквите услови најчесто се среќаваат кога голем број животни се наоѓаат во мал затворен простор (фарми за млечни крави, објекти за гоење говеда, живинарски и свињарски фарми) и при течен систем на изѓубрување. Главните фактори кои влијаат на емисиите на метан, се количеството на произведено ѓубриво и делот од ѓубривото кој анаеробно се распаѓа. Количеството на ѓубриво зависи од стапката на </w:t>
      </w:r>
      <w:r w:rsidRPr="00D02F72">
        <w:rPr>
          <w:rFonts w:ascii="Arial Narrow" w:hAnsi="Arial Narrow" w:cs="DejaVuSans"/>
          <w:sz w:val="28"/>
          <w:szCs w:val="28"/>
          <w:lang w:val="mk-MK"/>
        </w:rPr>
        <w:lastRenderedPageBreak/>
        <w:t>производство на ѓубриво по животно и од бројот на животни, а анаеробното распаѓање зависи од системот за менаџмент со ѓубривото. Кога ѓубривото се складира и обработува како течност (лагуни, базени, јами и сл.), доаѓа до анаеробно распаѓање и формирање на значителни количества метан. Температурата и временскиот период на чување на ѓубривото во голема мерка влијаат врз произведената количина на метан. Кога ѓубривото се обработува во цврста форма (купови) или кога се расфрла по пасишта има склоност кон аеробно распаѓање и произведува многу помали количества на метан.</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За пресметување на емисиите се користеше едноставен метод за кој се потребни податоци за популацијата на домашни животни по животински вид / категорија и климатскиот регион или температура во комбинација со стандардни емисиони фактори според ИПЦЦ. Со оглед на тоа што некои од емисиите со потекло од ѓубриво се особено чувствителни на температурни разлики, за добра пракса се смета вршењето на проценка на просечна годишна температура на локациите каде што се наоѓа ѓубривото.</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Пресметката на емисиите од управување со ѓубрива се изведува во следните чекори:</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Bold"/>
          <w:b/>
          <w:bCs/>
          <w:sz w:val="28"/>
          <w:szCs w:val="28"/>
          <w:lang w:val="mk-MK"/>
        </w:rPr>
        <w:t xml:space="preserve">Чекор 1: </w:t>
      </w:r>
      <w:r w:rsidRPr="00D02F72">
        <w:rPr>
          <w:rFonts w:ascii="Arial Narrow" w:hAnsi="Arial Narrow" w:cs="DejaVuSans"/>
          <w:sz w:val="28"/>
          <w:szCs w:val="28"/>
          <w:lang w:val="mk-MK"/>
        </w:rPr>
        <w:t>Собирање на податоци за популацијата од карактеризацијата на популацијата на домашни животни;</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Bold"/>
          <w:b/>
          <w:bCs/>
          <w:sz w:val="28"/>
          <w:szCs w:val="28"/>
          <w:lang w:val="mk-MK"/>
        </w:rPr>
        <w:t xml:space="preserve">Чекор 2: </w:t>
      </w:r>
      <w:r w:rsidRPr="00D02F72">
        <w:rPr>
          <w:rFonts w:ascii="Arial Narrow" w:hAnsi="Arial Narrow" w:cs="DejaVuSans"/>
          <w:sz w:val="28"/>
          <w:szCs w:val="28"/>
          <w:lang w:val="mk-MK"/>
        </w:rPr>
        <w:t>Употреба на стандардни вредности или развој на емисиони фактори специфични за земјата за секоја подкатегорија на животни изразено во килгорами метан по животно годишно;</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Bold"/>
          <w:b/>
          <w:bCs/>
          <w:sz w:val="28"/>
          <w:szCs w:val="28"/>
          <w:lang w:val="mk-MK"/>
        </w:rPr>
        <w:t xml:space="preserve">Чекор 3: </w:t>
      </w:r>
      <w:r w:rsidRPr="00D02F72">
        <w:rPr>
          <w:rFonts w:ascii="Arial Narrow" w:hAnsi="Arial Narrow" w:cs="DejaVuSans"/>
          <w:sz w:val="28"/>
          <w:szCs w:val="28"/>
          <w:lang w:val="mk-MK"/>
        </w:rPr>
        <w:t>Множење на емисионите фактори од подкатегориите на животни со популацијата на истата подкатегорија животни;</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Bold"/>
          <w:b/>
          <w:bCs/>
          <w:sz w:val="28"/>
          <w:szCs w:val="28"/>
          <w:lang w:val="mk-MK"/>
        </w:rPr>
        <w:t xml:space="preserve">Чекор 4: </w:t>
      </w:r>
      <w:r w:rsidRPr="00D02F72">
        <w:rPr>
          <w:rFonts w:ascii="Arial Narrow" w:hAnsi="Arial Narrow" w:cs="DejaVuSans"/>
          <w:sz w:val="28"/>
          <w:szCs w:val="28"/>
          <w:lang w:val="mk-MK"/>
        </w:rPr>
        <w:t>Собирање на сите емисиии од сите подкатегории на животни за да се добие вкупната вредност на емисиите од сите видови на домашни животни.</w:t>
      </w:r>
    </w:p>
    <w:p w:rsidR="00D02F72" w:rsidRPr="00D02F72" w:rsidRDefault="00D02F72" w:rsidP="00D02F72">
      <w:pPr>
        <w:keepNext/>
        <w:tabs>
          <w:tab w:val="left" w:pos="1701"/>
        </w:tabs>
        <w:spacing w:before="120" w:after="120" w:line="240" w:lineRule="auto"/>
        <w:ind w:left="1701" w:right="567" w:hanging="1134"/>
        <w:rPr>
          <w:rFonts w:ascii="StobiSerifIt Regular" w:hAnsi="StobiSerifIt Regular"/>
          <w:i/>
          <w:color w:val="4F6228" w:themeColor="accent3" w:themeShade="80"/>
          <w:lang w:val="mk-MK" w:eastAsia="en-GB"/>
        </w:rPr>
      </w:pPr>
      <w:r w:rsidRPr="00D02F72">
        <w:rPr>
          <w:rFonts w:ascii="StobiSerifIt Regular" w:hAnsi="StobiSerifIt Regular"/>
          <w:i/>
          <w:color w:val="4F6228" w:themeColor="accent3" w:themeShade="80"/>
          <w:lang w:val="mk-MK" w:eastAsia="en-GB"/>
        </w:rPr>
        <w:t>Емисии на метан од управување со ѓубриво за 2012 година во Општина Богданци</w:t>
      </w:r>
    </w:p>
    <w:tbl>
      <w:tblPr>
        <w:tblStyle w:val="TableGrid"/>
        <w:tblW w:w="0" w:type="auto"/>
        <w:jc w:val="center"/>
        <w:tblInd w:w="-54" w:type="dxa"/>
        <w:tblLook w:val="04A0" w:firstRow="1" w:lastRow="0" w:firstColumn="1" w:lastColumn="0" w:noHBand="0" w:noVBand="1"/>
      </w:tblPr>
      <w:tblGrid>
        <w:gridCol w:w="3375"/>
        <w:gridCol w:w="1276"/>
        <w:gridCol w:w="2275"/>
        <w:gridCol w:w="2658"/>
      </w:tblGrid>
      <w:tr w:rsidR="00D02F72" w:rsidRPr="00D02F72" w:rsidTr="00A07853">
        <w:trPr>
          <w:jc w:val="center"/>
        </w:trPr>
        <w:tc>
          <w:tcPr>
            <w:tcW w:w="3375"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Bold"/>
                <w:b/>
                <w:bCs/>
                <w:sz w:val="28"/>
                <w:szCs w:val="28"/>
                <w:lang w:val="mk-MK"/>
              </w:rPr>
              <w:t>Вид на животно</w:t>
            </w:r>
          </w:p>
        </w:tc>
        <w:tc>
          <w:tcPr>
            <w:tcW w:w="1276"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Број на</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животни</w:t>
            </w:r>
          </w:p>
        </w:tc>
        <w:tc>
          <w:tcPr>
            <w:tcW w:w="2275"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Емисионен фактор за</w:t>
            </w:r>
          </w:p>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Bold"/>
                <w:b/>
                <w:bCs/>
                <w:sz w:val="28"/>
                <w:szCs w:val="28"/>
                <w:lang w:val="mk-MK"/>
              </w:rPr>
              <w:t>управување со ѓубривото</w:t>
            </w:r>
          </w:p>
        </w:tc>
        <w:tc>
          <w:tcPr>
            <w:tcW w:w="2658"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Емисии од управување со ѓубриво</w:t>
            </w:r>
          </w:p>
        </w:tc>
      </w:tr>
      <w:tr w:rsidR="00D02F72" w:rsidRPr="00D02F72" w:rsidTr="00A07853">
        <w:trPr>
          <w:jc w:val="center"/>
        </w:trPr>
        <w:tc>
          <w:tcPr>
            <w:tcW w:w="3375" w:type="dxa"/>
            <w:shd w:val="clear" w:color="auto" w:fill="EAF1DD" w:themeFill="accent3" w:themeFillTint="33"/>
          </w:tcPr>
          <w:p w:rsidR="00D02F72" w:rsidRPr="00D02F72" w:rsidRDefault="00D02F72" w:rsidP="00D02F72">
            <w:pPr>
              <w:autoSpaceDE w:val="0"/>
              <w:autoSpaceDN w:val="0"/>
              <w:adjustRightInd w:val="0"/>
              <w:spacing w:before="120" w:after="120"/>
              <w:rPr>
                <w:rFonts w:ascii="Arial Narrow" w:hAnsi="Arial Narrow" w:cs="DejaVuSans"/>
                <w:sz w:val="28"/>
                <w:szCs w:val="28"/>
                <w:lang w:val="mk-MK"/>
              </w:rPr>
            </w:pPr>
          </w:p>
        </w:tc>
        <w:tc>
          <w:tcPr>
            <w:tcW w:w="1276" w:type="dxa"/>
            <w:shd w:val="clear" w:color="auto" w:fill="EAF1DD" w:themeFill="accent3" w:themeFillTint="33"/>
          </w:tcPr>
          <w:p w:rsidR="00D02F72" w:rsidRPr="00D02F72" w:rsidRDefault="00D02F72" w:rsidP="00D02F72">
            <w:pPr>
              <w:autoSpaceDE w:val="0"/>
              <w:autoSpaceDN w:val="0"/>
              <w:adjustRightInd w:val="0"/>
              <w:spacing w:before="120" w:after="120"/>
              <w:jc w:val="both"/>
              <w:rPr>
                <w:rFonts w:ascii="Arial Narrow" w:hAnsi="Arial Narrow" w:cs="DejaVuSans"/>
                <w:sz w:val="28"/>
                <w:szCs w:val="28"/>
                <w:lang w:val="mk-MK"/>
              </w:rPr>
            </w:pPr>
          </w:p>
        </w:tc>
        <w:tc>
          <w:tcPr>
            <w:tcW w:w="2275" w:type="dxa"/>
            <w:shd w:val="clear" w:color="auto" w:fill="EAF1DD" w:themeFill="accent3" w:themeFillTint="33"/>
          </w:tcPr>
          <w:p w:rsidR="00D02F72" w:rsidRPr="00D02F72" w:rsidRDefault="00D02F72" w:rsidP="00D02F72">
            <w:pPr>
              <w:autoSpaceDE w:val="0"/>
              <w:autoSpaceDN w:val="0"/>
              <w:adjustRightInd w:val="0"/>
              <w:spacing w:before="120" w:after="120"/>
              <w:jc w:val="both"/>
              <w:rPr>
                <w:rFonts w:ascii="Arial Narrow" w:hAnsi="Arial Narrow" w:cs="DejaVuSans"/>
                <w:sz w:val="28"/>
                <w:szCs w:val="28"/>
                <w:lang w:val="mk-MK"/>
              </w:rPr>
            </w:pPr>
            <w:r w:rsidRPr="00D02F72">
              <w:rPr>
                <w:rFonts w:ascii="Arial Narrow" w:hAnsi="Arial Narrow" w:cs="DejaVuSans"/>
                <w:sz w:val="28"/>
                <w:szCs w:val="28"/>
                <w:lang w:val="mk-MK"/>
              </w:rPr>
              <w:t>(кг/грло/год)</w:t>
            </w:r>
          </w:p>
        </w:tc>
        <w:tc>
          <w:tcPr>
            <w:tcW w:w="2658" w:type="dxa"/>
            <w:shd w:val="clear" w:color="auto" w:fill="EAF1DD" w:themeFill="accent3" w:themeFillTint="33"/>
          </w:tcPr>
          <w:p w:rsidR="00D02F72" w:rsidRPr="00D02F72" w:rsidRDefault="00D02F72" w:rsidP="00D02F72">
            <w:pPr>
              <w:autoSpaceDE w:val="0"/>
              <w:autoSpaceDN w:val="0"/>
              <w:adjustRightInd w:val="0"/>
              <w:spacing w:before="120" w:after="120"/>
              <w:jc w:val="both"/>
              <w:rPr>
                <w:rFonts w:ascii="Arial Narrow" w:hAnsi="Arial Narrow" w:cs="DejaVuSans"/>
                <w:sz w:val="28"/>
                <w:szCs w:val="28"/>
                <w:lang w:val="mk-MK"/>
              </w:rPr>
            </w:pPr>
            <w:r w:rsidRPr="00D02F72">
              <w:rPr>
                <w:rFonts w:ascii="Arial Narrow" w:hAnsi="Arial Narrow" w:cs="DejaVuSans"/>
                <w:sz w:val="28"/>
                <w:szCs w:val="28"/>
                <w:lang w:val="mk-MK"/>
              </w:rPr>
              <w:t>(тони/год)</w:t>
            </w:r>
          </w:p>
        </w:tc>
      </w:tr>
      <w:tr w:rsidR="00D02F72" w:rsidRPr="00D02F72" w:rsidTr="00A07853">
        <w:trPr>
          <w:jc w:val="center"/>
        </w:trPr>
        <w:tc>
          <w:tcPr>
            <w:tcW w:w="3375" w:type="dxa"/>
            <w:shd w:val="clear" w:color="auto" w:fill="EAF1DD" w:themeFill="accent3" w:themeFillTint="33"/>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lastRenderedPageBreak/>
              <w:t>Говеда што даваат млеко-</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крави</w:t>
            </w:r>
          </w:p>
        </w:tc>
        <w:tc>
          <w:tcPr>
            <w:tcW w:w="1276"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1021</w:t>
            </w:r>
          </w:p>
        </w:tc>
        <w:tc>
          <w:tcPr>
            <w:tcW w:w="2275"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6</w:t>
            </w:r>
          </w:p>
        </w:tc>
        <w:tc>
          <w:tcPr>
            <w:tcW w:w="2658"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6,13</w:t>
            </w:r>
          </w:p>
        </w:tc>
      </w:tr>
      <w:tr w:rsidR="00D02F72" w:rsidRPr="00D02F72" w:rsidTr="00A07853">
        <w:trPr>
          <w:jc w:val="center"/>
        </w:trPr>
        <w:tc>
          <w:tcPr>
            <w:tcW w:w="3375" w:type="dxa"/>
            <w:shd w:val="clear" w:color="auto" w:fill="EAF1DD" w:themeFill="accent3" w:themeFillTint="33"/>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Говеда што не даваат</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млеко</w:t>
            </w:r>
          </w:p>
        </w:tc>
        <w:tc>
          <w:tcPr>
            <w:tcW w:w="1276"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217</w:t>
            </w:r>
          </w:p>
        </w:tc>
        <w:tc>
          <w:tcPr>
            <w:tcW w:w="2275"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4</w:t>
            </w:r>
          </w:p>
        </w:tc>
        <w:tc>
          <w:tcPr>
            <w:tcW w:w="2658"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0,87</w:t>
            </w:r>
          </w:p>
        </w:tc>
      </w:tr>
      <w:tr w:rsidR="00D02F72" w:rsidRPr="00D02F72" w:rsidTr="00A07853">
        <w:trPr>
          <w:jc w:val="center"/>
        </w:trPr>
        <w:tc>
          <w:tcPr>
            <w:tcW w:w="3375" w:type="dxa"/>
            <w:shd w:val="clear" w:color="auto" w:fill="EAF1DD" w:themeFill="accent3" w:themeFillTint="33"/>
          </w:tcPr>
          <w:p w:rsidR="00D02F72" w:rsidRPr="00D02F72" w:rsidRDefault="00D02F72" w:rsidP="00D02F72">
            <w:pPr>
              <w:autoSpaceDE w:val="0"/>
              <w:autoSpaceDN w:val="0"/>
              <w:adjustRightInd w:val="0"/>
              <w:spacing w:before="120" w:after="120"/>
              <w:rPr>
                <w:rFonts w:ascii="Arial Narrow" w:hAnsi="Arial Narrow" w:cs="DejaVuSans"/>
                <w:sz w:val="28"/>
                <w:szCs w:val="28"/>
                <w:lang w:val="mk-MK"/>
              </w:rPr>
            </w:pPr>
            <w:r w:rsidRPr="00D02F72">
              <w:rPr>
                <w:rFonts w:ascii="Arial Narrow" w:hAnsi="Arial Narrow" w:cs="DejaVuSans"/>
                <w:sz w:val="28"/>
                <w:szCs w:val="28"/>
                <w:lang w:val="mk-MK"/>
              </w:rPr>
              <w:t>Овци</w:t>
            </w:r>
          </w:p>
        </w:tc>
        <w:tc>
          <w:tcPr>
            <w:tcW w:w="1276"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7745</w:t>
            </w:r>
          </w:p>
        </w:tc>
        <w:tc>
          <w:tcPr>
            <w:tcW w:w="2275"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0,1</w:t>
            </w:r>
          </w:p>
        </w:tc>
        <w:tc>
          <w:tcPr>
            <w:tcW w:w="2658"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0,77</w:t>
            </w:r>
          </w:p>
        </w:tc>
      </w:tr>
      <w:tr w:rsidR="00D02F72" w:rsidRPr="00D02F72" w:rsidTr="00A07853">
        <w:trPr>
          <w:jc w:val="center"/>
        </w:trPr>
        <w:tc>
          <w:tcPr>
            <w:tcW w:w="3375" w:type="dxa"/>
            <w:shd w:val="clear" w:color="auto" w:fill="EAF1DD" w:themeFill="accent3" w:themeFillTint="33"/>
          </w:tcPr>
          <w:p w:rsidR="00D02F72" w:rsidRPr="00D02F72" w:rsidRDefault="00D02F72" w:rsidP="00D02F72">
            <w:pPr>
              <w:autoSpaceDE w:val="0"/>
              <w:autoSpaceDN w:val="0"/>
              <w:adjustRightInd w:val="0"/>
              <w:spacing w:before="120" w:after="120"/>
              <w:rPr>
                <w:rFonts w:ascii="Arial Narrow" w:hAnsi="Arial Narrow" w:cs="DejaVuSans"/>
                <w:sz w:val="28"/>
                <w:szCs w:val="28"/>
                <w:lang w:val="mk-MK"/>
              </w:rPr>
            </w:pPr>
            <w:r w:rsidRPr="00D02F72">
              <w:rPr>
                <w:rFonts w:ascii="Arial Narrow" w:hAnsi="Arial Narrow" w:cs="DejaVuSans"/>
                <w:sz w:val="28"/>
                <w:szCs w:val="28"/>
                <w:lang w:val="mk-MK"/>
              </w:rPr>
              <w:t>Кози</w:t>
            </w:r>
          </w:p>
        </w:tc>
        <w:tc>
          <w:tcPr>
            <w:tcW w:w="1276"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380</w:t>
            </w:r>
          </w:p>
        </w:tc>
        <w:tc>
          <w:tcPr>
            <w:tcW w:w="2275"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0,11</w:t>
            </w:r>
          </w:p>
        </w:tc>
        <w:tc>
          <w:tcPr>
            <w:tcW w:w="2658"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0,04</w:t>
            </w:r>
          </w:p>
        </w:tc>
      </w:tr>
      <w:tr w:rsidR="00D02F72" w:rsidRPr="00D02F72" w:rsidTr="00A07853">
        <w:trPr>
          <w:jc w:val="center"/>
        </w:trPr>
        <w:tc>
          <w:tcPr>
            <w:tcW w:w="3375" w:type="dxa"/>
            <w:shd w:val="clear" w:color="auto" w:fill="EAF1DD" w:themeFill="accent3" w:themeFillTint="33"/>
          </w:tcPr>
          <w:p w:rsidR="00D02F72" w:rsidRPr="00D02F72" w:rsidRDefault="00D02F72" w:rsidP="00D02F72">
            <w:pPr>
              <w:autoSpaceDE w:val="0"/>
              <w:autoSpaceDN w:val="0"/>
              <w:adjustRightInd w:val="0"/>
              <w:spacing w:before="120" w:after="120"/>
              <w:rPr>
                <w:rFonts w:ascii="Arial Narrow" w:hAnsi="Arial Narrow" w:cs="DejaVuSans"/>
                <w:sz w:val="28"/>
                <w:szCs w:val="28"/>
                <w:lang w:val="mk-MK"/>
              </w:rPr>
            </w:pPr>
            <w:r w:rsidRPr="00D02F72">
              <w:rPr>
                <w:rFonts w:ascii="Arial Narrow" w:hAnsi="Arial Narrow" w:cs="DejaVuSans"/>
                <w:sz w:val="28"/>
                <w:szCs w:val="28"/>
                <w:lang w:val="mk-MK"/>
              </w:rPr>
              <w:t>Коњи</w:t>
            </w:r>
          </w:p>
        </w:tc>
        <w:tc>
          <w:tcPr>
            <w:tcW w:w="1276"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335</w:t>
            </w:r>
          </w:p>
        </w:tc>
        <w:tc>
          <w:tcPr>
            <w:tcW w:w="2275"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1,1</w:t>
            </w:r>
          </w:p>
        </w:tc>
        <w:tc>
          <w:tcPr>
            <w:tcW w:w="2658"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0,37</w:t>
            </w:r>
          </w:p>
        </w:tc>
      </w:tr>
      <w:tr w:rsidR="00D02F72" w:rsidRPr="00D02F72" w:rsidTr="00A07853">
        <w:trPr>
          <w:jc w:val="center"/>
        </w:trPr>
        <w:tc>
          <w:tcPr>
            <w:tcW w:w="3375" w:type="dxa"/>
            <w:shd w:val="clear" w:color="auto" w:fill="EAF1DD" w:themeFill="accent3" w:themeFillTint="33"/>
          </w:tcPr>
          <w:p w:rsidR="00D02F72" w:rsidRPr="00D02F72" w:rsidRDefault="00D02F72" w:rsidP="00D02F72">
            <w:pPr>
              <w:autoSpaceDE w:val="0"/>
              <w:autoSpaceDN w:val="0"/>
              <w:adjustRightInd w:val="0"/>
              <w:spacing w:before="120" w:after="120"/>
              <w:rPr>
                <w:rFonts w:ascii="Arial Narrow" w:hAnsi="Arial Narrow" w:cs="DejaVuSans"/>
                <w:sz w:val="28"/>
                <w:szCs w:val="28"/>
                <w:lang w:val="mk-MK"/>
              </w:rPr>
            </w:pPr>
            <w:r w:rsidRPr="00D02F72">
              <w:rPr>
                <w:rFonts w:ascii="Arial Narrow" w:hAnsi="Arial Narrow" w:cs="DejaVuSans"/>
                <w:sz w:val="28"/>
                <w:szCs w:val="28"/>
                <w:lang w:val="mk-MK"/>
              </w:rPr>
              <w:t>Мазги и магариња</w:t>
            </w:r>
          </w:p>
        </w:tc>
        <w:tc>
          <w:tcPr>
            <w:tcW w:w="1276"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174</w:t>
            </w:r>
          </w:p>
        </w:tc>
        <w:tc>
          <w:tcPr>
            <w:tcW w:w="2275"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p>
        </w:tc>
        <w:tc>
          <w:tcPr>
            <w:tcW w:w="2658"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0,00</w:t>
            </w:r>
          </w:p>
        </w:tc>
      </w:tr>
      <w:tr w:rsidR="00D02F72" w:rsidRPr="00D02F72" w:rsidTr="00A07853">
        <w:trPr>
          <w:jc w:val="center"/>
        </w:trPr>
        <w:tc>
          <w:tcPr>
            <w:tcW w:w="3375" w:type="dxa"/>
            <w:shd w:val="clear" w:color="auto" w:fill="EAF1DD" w:themeFill="accent3" w:themeFillTint="33"/>
          </w:tcPr>
          <w:p w:rsidR="00D02F72" w:rsidRPr="00D02F72" w:rsidRDefault="00D02F72" w:rsidP="00D02F72">
            <w:pPr>
              <w:autoSpaceDE w:val="0"/>
              <w:autoSpaceDN w:val="0"/>
              <w:adjustRightInd w:val="0"/>
              <w:spacing w:before="120" w:after="120"/>
              <w:rPr>
                <w:rFonts w:ascii="Arial Narrow" w:hAnsi="Arial Narrow" w:cs="DejaVuSans"/>
                <w:sz w:val="28"/>
                <w:szCs w:val="28"/>
                <w:lang w:val="mk-MK"/>
              </w:rPr>
            </w:pPr>
            <w:r w:rsidRPr="00D02F72">
              <w:rPr>
                <w:rFonts w:ascii="Arial Narrow" w:hAnsi="Arial Narrow" w:cs="DejaVuSans"/>
                <w:sz w:val="28"/>
                <w:szCs w:val="28"/>
                <w:lang w:val="mk-MK"/>
              </w:rPr>
              <w:t>Свињи</w:t>
            </w:r>
          </w:p>
        </w:tc>
        <w:tc>
          <w:tcPr>
            <w:tcW w:w="1276"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774</w:t>
            </w:r>
          </w:p>
        </w:tc>
        <w:tc>
          <w:tcPr>
            <w:tcW w:w="2275"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4</w:t>
            </w:r>
          </w:p>
        </w:tc>
        <w:tc>
          <w:tcPr>
            <w:tcW w:w="2658"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3,10</w:t>
            </w:r>
          </w:p>
        </w:tc>
      </w:tr>
      <w:tr w:rsidR="00D02F72" w:rsidRPr="00D02F72" w:rsidTr="00A07853">
        <w:trPr>
          <w:jc w:val="center"/>
        </w:trPr>
        <w:tc>
          <w:tcPr>
            <w:tcW w:w="3375" w:type="dxa"/>
            <w:shd w:val="clear" w:color="auto" w:fill="EAF1DD" w:themeFill="accent3" w:themeFillTint="33"/>
          </w:tcPr>
          <w:p w:rsidR="00D02F72" w:rsidRPr="00D02F72" w:rsidRDefault="00D02F72" w:rsidP="00D02F72">
            <w:pPr>
              <w:autoSpaceDE w:val="0"/>
              <w:autoSpaceDN w:val="0"/>
              <w:adjustRightInd w:val="0"/>
              <w:spacing w:before="120" w:after="120"/>
              <w:rPr>
                <w:rFonts w:ascii="Arial Narrow" w:hAnsi="Arial Narrow" w:cs="DejaVuSans"/>
                <w:sz w:val="28"/>
                <w:szCs w:val="28"/>
                <w:lang w:val="mk-MK"/>
              </w:rPr>
            </w:pPr>
            <w:r w:rsidRPr="00D02F72">
              <w:rPr>
                <w:rFonts w:ascii="Arial Narrow" w:hAnsi="Arial Narrow" w:cs="DejaVuSans"/>
                <w:sz w:val="28"/>
                <w:szCs w:val="28"/>
                <w:lang w:val="mk-MK"/>
              </w:rPr>
              <w:t>Живина</w:t>
            </w:r>
          </w:p>
        </w:tc>
        <w:tc>
          <w:tcPr>
            <w:tcW w:w="1276"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4122</w:t>
            </w:r>
          </w:p>
        </w:tc>
        <w:tc>
          <w:tcPr>
            <w:tcW w:w="2275"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0,012</w:t>
            </w:r>
          </w:p>
        </w:tc>
        <w:tc>
          <w:tcPr>
            <w:tcW w:w="2658" w:type="dxa"/>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0,05</w:t>
            </w:r>
          </w:p>
        </w:tc>
      </w:tr>
      <w:tr w:rsidR="00D02F72" w:rsidRPr="00D02F72" w:rsidTr="00A07853">
        <w:trPr>
          <w:jc w:val="center"/>
        </w:trPr>
        <w:tc>
          <w:tcPr>
            <w:tcW w:w="6926" w:type="dxa"/>
            <w:gridSpan w:val="3"/>
            <w:shd w:val="clear" w:color="auto" w:fill="EAF1DD" w:themeFill="accent3" w:themeFillTint="33"/>
          </w:tcPr>
          <w:p w:rsidR="00D02F72" w:rsidRPr="00D02F72" w:rsidRDefault="00D02F72" w:rsidP="00D02F72">
            <w:pPr>
              <w:autoSpaceDE w:val="0"/>
              <w:autoSpaceDN w:val="0"/>
              <w:adjustRightInd w:val="0"/>
              <w:spacing w:before="120" w:after="120"/>
              <w:jc w:val="center"/>
              <w:rPr>
                <w:rFonts w:ascii="Arial Narrow" w:hAnsi="Arial Narrow" w:cs="DejaVuSans"/>
                <w:sz w:val="28"/>
                <w:szCs w:val="28"/>
                <w:lang w:val="mk-MK"/>
              </w:rPr>
            </w:pPr>
            <w:r w:rsidRPr="00D02F72">
              <w:rPr>
                <w:rFonts w:ascii="Arial Narrow" w:hAnsi="Arial Narrow" w:cs="DejaVuSans-Bold"/>
                <w:b/>
                <w:bCs/>
                <w:sz w:val="28"/>
                <w:szCs w:val="28"/>
                <w:lang w:val="mk-MK"/>
              </w:rPr>
              <w:t>Вкупно</w:t>
            </w:r>
          </w:p>
        </w:tc>
        <w:tc>
          <w:tcPr>
            <w:tcW w:w="2658" w:type="dxa"/>
            <w:shd w:val="clear" w:color="auto" w:fill="76923C" w:themeFill="accent3" w:themeFillShade="BF"/>
          </w:tcPr>
          <w:p w:rsidR="00D02F72" w:rsidRPr="00D02F72" w:rsidRDefault="00D02F72" w:rsidP="00D02F72">
            <w:pPr>
              <w:autoSpaceDE w:val="0"/>
              <w:autoSpaceDN w:val="0"/>
              <w:adjustRightInd w:val="0"/>
              <w:spacing w:before="120" w:after="120"/>
              <w:jc w:val="right"/>
              <w:rPr>
                <w:rFonts w:ascii="Arial Narrow" w:hAnsi="Arial Narrow" w:cs="DejaVuSans"/>
                <w:sz w:val="28"/>
                <w:szCs w:val="28"/>
                <w:lang w:val="mk-MK"/>
              </w:rPr>
            </w:pPr>
            <w:r w:rsidRPr="00D02F72">
              <w:rPr>
                <w:rFonts w:ascii="Arial Narrow" w:hAnsi="Arial Narrow" w:cs="DejaVuSans"/>
                <w:sz w:val="28"/>
                <w:szCs w:val="28"/>
                <w:lang w:val="mk-MK"/>
              </w:rPr>
              <w:t>11,32</w:t>
            </w:r>
          </w:p>
        </w:tc>
      </w:tr>
    </w:tbl>
    <w:p w:rsidR="00D02F72" w:rsidRPr="00D02F72" w:rsidRDefault="00D02F72" w:rsidP="00D02F72">
      <w:pPr>
        <w:spacing w:line="300" w:lineRule="exact"/>
        <w:jc w:val="both"/>
        <w:rPr>
          <w:rFonts w:ascii="Arial" w:eastAsia="Calibri" w:hAnsi="Arial" w:cs="Arial"/>
          <w:lang w:val="mk-MK"/>
        </w:rPr>
      </w:pP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Емисиите на метан од управување со ѓубриво за 2012 година во Општина Богданци изнесуваат 11,32 тони односно 237,72 тони CO2-екв.</w:t>
      </w:r>
    </w:p>
    <w:p w:rsidR="00D02F72" w:rsidRPr="00D02F72" w:rsidRDefault="00D02F72" w:rsidP="00D02F72">
      <w:pPr>
        <w:keepNext/>
        <w:numPr>
          <w:ilvl w:val="3"/>
          <w:numId w:val="0"/>
        </w:numPr>
        <w:spacing w:before="200" w:line="300" w:lineRule="exact"/>
        <w:ind w:left="1134" w:hanging="1134"/>
        <w:outlineLvl w:val="3"/>
        <w:rPr>
          <w:rFonts w:ascii="Arial" w:hAnsi="Arial" w:cs="Arial"/>
          <w:bCs/>
          <w:color w:val="4F6228"/>
          <w:lang w:val="mk-MK"/>
          <w14:textFill>
            <w14:solidFill>
              <w14:srgbClr w14:val="4F6228">
                <w14:lumMod w14:val="50000"/>
              </w14:srgbClr>
            </w14:solidFill>
          </w14:textFill>
        </w:rPr>
      </w:pPr>
      <w:r w:rsidRPr="00D02F72">
        <w:rPr>
          <w:rFonts w:ascii="Arial" w:hAnsi="Arial" w:cs="Arial"/>
          <w:bCs/>
          <w:color w:val="4F6228"/>
          <w:lang w:val="mk-MK"/>
          <w14:textFill>
            <w14:solidFill>
              <w14:srgbClr w14:val="4F6228">
                <w14:lumMod w14:val="50000"/>
              </w14:srgbClr>
            </w14:solidFill>
          </w14:textFill>
        </w:rPr>
        <w:t>Емисии на стакленички гасови од горење на растителни култури</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Горењето на остаточната биомаса од земјоделските активности, доведува до емисии на CO2. Ваквите практики се чести во руралните области во Македонија. Сепак овие емисии на CO2 ќе бидат повторно апсорбирани при растење на културите во следната сезона, затоа овие емисии не влегуваат во нето емисиите во општинскиот инвентар на стакленички гасови. Сепак, при ваквото горење поради некомплетното согорување се емитуваат други директни и индиректни гасови: CO, N2O, CH4 и NOx.</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Ратата на активност е добиена во соработка со НВОто во општина Богданци. Емисионите фактори за горење на растителните култури се превземени од Ревидираните прирачници на ИПЦЦ, додека пак претпоставките за фракцијата на изгорени остатоци од вкупниот број на остатоци, се направени според Прирачникот за добри практики на ИПЦЦ.</w:t>
      </w:r>
    </w:p>
    <w:p w:rsidR="00D02F72" w:rsidRPr="00D02F72" w:rsidRDefault="00D02F72" w:rsidP="00D02F72">
      <w:pPr>
        <w:keepNext/>
        <w:tabs>
          <w:tab w:val="left" w:pos="1701"/>
        </w:tabs>
        <w:spacing w:before="120" w:after="120" w:line="240" w:lineRule="auto"/>
        <w:ind w:left="1701" w:right="567" w:hanging="1134"/>
        <w:rPr>
          <w:rFonts w:ascii="StobiSerifIt Regular" w:hAnsi="StobiSerifIt Regular"/>
          <w:i/>
          <w:color w:val="4F6228" w:themeColor="accent3" w:themeShade="80"/>
          <w:sz w:val="28"/>
          <w:szCs w:val="28"/>
          <w:lang w:val="mk-MK" w:eastAsia="en-GB"/>
        </w:rPr>
      </w:pPr>
      <w:r w:rsidRPr="00D02F72">
        <w:rPr>
          <w:rFonts w:ascii="StobiSerifIt Regular" w:hAnsi="StobiSerifIt Regular"/>
          <w:i/>
          <w:color w:val="4F6228" w:themeColor="accent3" w:themeShade="80"/>
          <w:lang w:val="mk-MK" w:eastAsia="en-GB"/>
        </w:rPr>
        <w:t>Земјоделски површини во Општина Богданци</w:t>
      </w:r>
    </w:p>
    <w:tbl>
      <w:tblPr>
        <w:tblStyle w:val="TableGrid"/>
        <w:tblW w:w="0" w:type="auto"/>
        <w:tblLook w:val="04A0" w:firstRow="1" w:lastRow="0" w:firstColumn="1" w:lastColumn="0" w:noHBand="0" w:noVBand="1"/>
      </w:tblPr>
      <w:tblGrid>
        <w:gridCol w:w="1214"/>
        <w:gridCol w:w="1456"/>
        <w:gridCol w:w="1450"/>
        <w:gridCol w:w="1553"/>
        <w:gridCol w:w="1214"/>
        <w:gridCol w:w="1325"/>
        <w:gridCol w:w="1364"/>
      </w:tblGrid>
      <w:tr w:rsidR="00D02F72" w:rsidRPr="00D02F72" w:rsidTr="00A07853">
        <w:tc>
          <w:tcPr>
            <w:tcW w:w="9854" w:type="dxa"/>
            <w:gridSpan w:val="7"/>
            <w:shd w:val="clear" w:color="auto" w:fill="C2D69B" w:themeFill="accent3" w:themeFillTint="99"/>
          </w:tcPr>
          <w:p w:rsidR="00D02F72" w:rsidRPr="00D02F72" w:rsidRDefault="00D02F72" w:rsidP="00D02F72">
            <w:pPr>
              <w:autoSpaceDE w:val="0"/>
              <w:autoSpaceDN w:val="0"/>
              <w:adjustRightInd w:val="0"/>
              <w:spacing w:before="120" w:after="120"/>
              <w:jc w:val="center"/>
              <w:rPr>
                <w:rFonts w:ascii="Arial Narrow" w:hAnsi="Arial Narrow" w:cs="DejaVuSans-Bold"/>
                <w:b/>
                <w:bCs/>
                <w:sz w:val="28"/>
                <w:szCs w:val="28"/>
                <w:lang w:val="mk-MK"/>
              </w:rPr>
            </w:pPr>
            <w:r w:rsidRPr="00D02F72">
              <w:rPr>
                <w:rFonts w:ascii="Arial Narrow" w:hAnsi="Arial Narrow" w:cs="DejaVuSans-Bold"/>
                <w:b/>
                <w:bCs/>
                <w:color w:val="FFFFFF"/>
                <w:sz w:val="28"/>
                <w:szCs w:val="28"/>
                <w:lang w:val="mk-MK"/>
              </w:rPr>
              <w:t>Површина на жита</w:t>
            </w:r>
          </w:p>
        </w:tc>
      </w:tr>
      <w:tr w:rsidR="00D02F72" w:rsidRPr="00D02F72" w:rsidTr="00A07853">
        <w:tc>
          <w:tcPr>
            <w:tcW w:w="1407" w:type="dxa"/>
            <w:shd w:val="clear" w:color="auto" w:fill="EAF1DD" w:themeFill="accent3" w:themeFillTint="33"/>
          </w:tcPr>
          <w:p w:rsidR="00D02F72" w:rsidRPr="00D02F72" w:rsidRDefault="00D02F72" w:rsidP="00D02F72">
            <w:pPr>
              <w:autoSpaceDE w:val="0"/>
              <w:autoSpaceDN w:val="0"/>
              <w:adjustRightInd w:val="0"/>
              <w:spacing w:before="120" w:after="12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lastRenderedPageBreak/>
              <w:t>Вкупно</w:t>
            </w:r>
          </w:p>
          <w:p w:rsidR="00D02F72" w:rsidRPr="00D02F72" w:rsidRDefault="00D02F72" w:rsidP="00D02F72">
            <w:pPr>
              <w:autoSpaceDE w:val="0"/>
              <w:autoSpaceDN w:val="0"/>
              <w:adjustRightInd w:val="0"/>
              <w:spacing w:before="120" w:after="120"/>
              <w:jc w:val="center"/>
              <w:rPr>
                <w:rFonts w:ascii="Arial Narrow" w:hAnsi="Arial Narrow" w:cs="DejaVuSans-Bold"/>
                <w:b/>
                <w:bCs/>
                <w:sz w:val="28"/>
                <w:szCs w:val="28"/>
              </w:rPr>
            </w:pPr>
            <w:r w:rsidRPr="00D02F72">
              <w:rPr>
                <w:rFonts w:ascii="Arial Narrow" w:hAnsi="Arial Narrow" w:cs="DejaVuSans-Bold"/>
                <w:b/>
                <w:bCs/>
                <w:sz w:val="28"/>
                <w:szCs w:val="28"/>
              </w:rPr>
              <w:t>ha</w:t>
            </w:r>
          </w:p>
        </w:tc>
        <w:tc>
          <w:tcPr>
            <w:tcW w:w="1407" w:type="dxa"/>
            <w:shd w:val="clear" w:color="auto" w:fill="EAF1DD" w:themeFill="accent3" w:themeFillTint="33"/>
          </w:tcPr>
          <w:p w:rsidR="00D02F72" w:rsidRPr="00D02F72" w:rsidRDefault="00D02F72" w:rsidP="00D02F72">
            <w:pPr>
              <w:autoSpaceDE w:val="0"/>
              <w:autoSpaceDN w:val="0"/>
              <w:adjustRightInd w:val="0"/>
              <w:spacing w:before="120" w:after="120"/>
              <w:jc w:val="center"/>
              <w:rPr>
                <w:rFonts w:ascii="Arial Narrow" w:hAnsi="Arial Narrow" w:cs="DejaVuSans-Bold"/>
                <w:b/>
                <w:bCs/>
                <w:sz w:val="28"/>
                <w:szCs w:val="28"/>
                <w:lang w:val="mk-MK"/>
              </w:rPr>
            </w:pPr>
          </w:p>
        </w:tc>
        <w:tc>
          <w:tcPr>
            <w:tcW w:w="1408" w:type="dxa"/>
            <w:shd w:val="clear" w:color="auto" w:fill="EAF1DD" w:themeFill="accent3" w:themeFillTint="33"/>
          </w:tcPr>
          <w:p w:rsidR="00D02F72" w:rsidRPr="00D02F72" w:rsidRDefault="00D02F72" w:rsidP="00D02F72">
            <w:pPr>
              <w:autoSpaceDE w:val="0"/>
              <w:autoSpaceDN w:val="0"/>
              <w:adjustRightInd w:val="0"/>
              <w:spacing w:before="120" w:after="12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Пченица</w:t>
            </w:r>
          </w:p>
        </w:tc>
        <w:tc>
          <w:tcPr>
            <w:tcW w:w="1408" w:type="dxa"/>
            <w:shd w:val="clear" w:color="auto" w:fill="EAF1DD" w:themeFill="accent3" w:themeFillTint="33"/>
          </w:tcPr>
          <w:p w:rsidR="00D02F72" w:rsidRPr="00D02F72" w:rsidRDefault="00D02F72" w:rsidP="00D02F72">
            <w:pPr>
              <w:autoSpaceDE w:val="0"/>
              <w:autoSpaceDN w:val="0"/>
              <w:adjustRightInd w:val="0"/>
              <w:spacing w:before="120" w:after="12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Пченка</w:t>
            </w:r>
          </w:p>
        </w:tc>
        <w:tc>
          <w:tcPr>
            <w:tcW w:w="1408" w:type="dxa"/>
            <w:shd w:val="clear" w:color="auto" w:fill="EAF1DD" w:themeFill="accent3" w:themeFillTint="33"/>
          </w:tcPr>
          <w:p w:rsidR="00D02F72" w:rsidRPr="00D02F72" w:rsidRDefault="00D02F72" w:rsidP="00D02F72">
            <w:pPr>
              <w:autoSpaceDE w:val="0"/>
              <w:autoSpaceDN w:val="0"/>
              <w:adjustRightInd w:val="0"/>
              <w:spacing w:before="120" w:after="12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Јачмен</w:t>
            </w:r>
          </w:p>
        </w:tc>
        <w:tc>
          <w:tcPr>
            <w:tcW w:w="1408" w:type="dxa"/>
            <w:shd w:val="clear" w:color="auto" w:fill="EAF1DD" w:themeFill="accent3" w:themeFillTint="33"/>
          </w:tcPr>
          <w:p w:rsidR="00D02F72" w:rsidRPr="00D02F72" w:rsidRDefault="00D02F72" w:rsidP="00D02F72">
            <w:pPr>
              <w:autoSpaceDE w:val="0"/>
              <w:autoSpaceDN w:val="0"/>
              <w:adjustRightInd w:val="0"/>
              <w:spacing w:before="120" w:after="12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Ориз</w:t>
            </w:r>
          </w:p>
        </w:tc>
        <w:tc>
          <w:tcPr>
            <w:tcW w:w="1408" w:type="dxa"/>
            <w:shd w:val="clear" w:color="auto" w:fill="EAF1DD" w:themeFill="accent3" w:themeFillTint="33"/>
          </w:tcPr>
          <w:p w:rsidR="00D02F72" w:rsidRPr="00D02F72" w:rsidRDefault="00D02F72" w:rsidP="00D02F72">
            <w:pPr>
              <w:autoSpaceDE w:val="0"/>
              <w:autoSpaceDN w:val="0"/>
              <w:adjustRightInd w:val="0"/>
              <w:spacing w:before="120" w:after="12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Друго</w:t>
            </w:r>
          </w:p>
          <w:p w:rsidR="00D02F72" w:rsidRPr="00D02F72" w:rsidRDefault="00D02F72" w:rsidP="00D02F72">
            <w:pPr>
              <w:autoSpaceDE w:val="0"/>
              <w:autoSpaceDN w:val="0"/>
              <w:adjustRightInd w:val="0"/>
              <w:spacing w:before="120" w:after="12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жита</w:t>
            </w:r>
          </w:p>
        </w:tc>
      </w:tr>
      <w:tr w:rsidR="00D02F72" w:rsidRPr="00D02F72" w:rsidTr="00A07853">
        <w:tc>
          <w:tcPr>
            <w:tcW w:w="1407" w:type="dxa"/>
          </w:tcPr>
          <w:p w:rsidR="00D02F72" w:rsidRPr="00D02F72" w:rsidRDefault="00D02F72" w:rsidP="00D02F72">
            <w:pPr>
              <w:autoSpaceDE w:val="0"/>
              <w:autoSpaceDN w:val="0"/>
              <w:adjustRightInd w:val="0"/>
              <w:spacing w:before="120" w:after="120"/>
              <w:jc w:val="center"/>
              <w:rPr>
                <w:rFonts w:ascii="Arial Narrow" w:hAnsi="Arial Narrow" w:cs="DejaVuSans-Bold"/>
                <w:bCs/>
                <w:sz w:val="28"/>
                <w:szCs w:val="28"/>
                <w:lang w:val="mk-MK"/>
              </w:rPr>
            </w:pPr>
            <w:r w:rsidRPr="00D02F72">
              <w:rPr>
                <w:rFonts w:ascii="Arial Narrow" w:hAnsi="Arial Narrow" w:cs="DejaVuSans-Bold"/>
                <w:bCs/>
                <w:sz w:val="28"/>
                <w:szCs w:val="28"/>
                <w:lang w:val="mk-MK"/>
              </w:rPr>
              <w:t>553</w:t>
            </w:r>
          </w:p>
        </w:tc>
        <w:tc>
          <w:tcPr>
            <w:tcW w:w="1407" w:type="dxa"/>
          </w:tcPr>
          <w:p w:rsidR="00D02F72" w:rsidRPr="00D02F72" w:rsidRDefault="00D02F72" w:rsidP="00D02F72">
            <w:pPr>
              <w:autoSpaceDE w:val="0"/>
              <w:autoSpaceDN w:val="0"/>
              <w:adjustRightInd w:val="0"/>
              <w:spacing w:before="120" w:after="120"/>
              <w:jc w:val="center"/>
              <w:rPr>
                <w:rFonts w:ascii="Arial Narrow" w:hAnsi="Arial Narrow" w:cs="DejaVuSans-Bold"/>
                <w:bCs/>
                <w:sz w:val="28"/>
                <w:szCs w:val="28"/>
                <w:lang w:val="mk-MK"/>
              </w:rPr>
            </w:pPr>
          </w:p>
        </w:tc>
        <w:tc>
          <w:tcPr>
            <w:tcW w:w="1408" w:type="dxa"/>
          </w:tcPr>
          <w:p w:rsidR="00D02F72" w:rsidRPr="00D02F72" w:rsidRDefault="00D02F72" w:rsidP="00D02F72">
            <w:pPr>
              <w:autoSpaceDE w:val="0"/>
              <w:autoSpaceDN w:val="0"/>
              <w:adjustRightInd w:val="0"/>
              <w:spacing w:before="120" w:after="120"/>
              <w:jc w:val="center"/>
              <w:rPr>
                <w:rFonts w:ascii="Arial Narrow" w:hAnsi="Arial Narrow" w:cs="DejaVuSans-Bold"/>
                <w:bCs/>
                <w:sz w:val="28"/>
                <w:szCs w:val="28"/>
                <w:lang w:val="mk-MK"/>
              </w:rPr>
            </w:pPr>
            <w:r w:rsidRPr="00D02F72">
              <w:rPr>
                <w:rFonts w:ascii="Arial Narrow" w:hAnsi="Arial Narrow" w:cs="DejaVuSans-Bold"/>
                <w:bCs/>
                <w:sz w:val="28"/>
                <w:szCs w:val="28"/>
                <w:lang w:val="mk-MK"/>
              </w:rPr>
              <w:t>355</w:t>
            </w:r>
          </w:p>
        </w:tc>
        <w:tc>
          <w:tcPr>
            <w:tcW w:w="1408" w:type="dxa"/>
          </w:tcPr>
          <w:p w:rsidR="00D02F72" w:rsidRPr="00D02F72" w:rsidRDefault="00D02F72" w:rsidP="00D02F72">
            <w:pPr>
              <w:autoSpaceDE w:val="0"/>
              <w:autoSpaceDN w:val="0"/>
              <w:adjustRightInd w:val="0"/>
              <w:spacing w:before="120" w:after="120"/>
              <w:jc w:val="center"/>
              <w:rPr>
                <w:rFonts w:ascii="Arial Narrow" w:hAnsi="Arial Narrow" w:cs="DejaVuSans-Bold"/>
                <w:bCs/>
                <w:sz w:val="28"/>
                <w:szCs w:val="28"/>
                <w:lang w:val="mk-MK"/>
              </w:rPr>
            </w:pPr>
            <w:r w:rsidRPr="00D02F72">
              <w:rPr>
                <w:rFonts w:ascii="Arial Narrow" w:hAnsi="Arial Narrow" w:cs="DejaVuSans-Bold"/>
                <w:bCs/>
                <w:sz w:val="28"/>
                <w:szCs w:val="28"/>
                <w:lang w:val="mk-MK"/>
              </w:rPr>
              <w:t>158</w:t>
            </w:r>
          </w:p>
        </w:tc>
        <w:tc>
          <w:tcPr>
            <w:tcW w:w="1408" w:type="dxa"/>
          </w:tcPr>
          <w:p w:rsidR="00D02F72" w:rsidRPr="00D02F72" w:rsidRDefault="00D02F72" w:rsidP="00D02F72">
            <w:pPr>
              <w:autoSpaceDE w:val="0"/>
              <w:autoSpaceDN w:val="0"/>
              <w:adjustRightInd w:val="0"/>
              <w:spacing w:before="120" w:after="120"/>
              <w:jc w:val="center"/>
              <w:rPr>
                <w:rFonts w:ascii="Arial Narrow" w:hAnsi="Arial Narrow" w:cs="DejaVuSans-Bold"/>
                <w:bCs/>
                <w:sz w:val="28"/>
                <w:szCs w:val="28"/>
                <w:lang w:val="mk-MK"/>
              </w:rPr>
            </w:pPr>
            <w:r w:rsidRPr="00D02F72">
              <w:rPr>
                <w:rFonts w:ascii="Arial Narrow" w:hAnsi="Arial Narrow" w:cs="DejaVuSans-Bold"/>
                <w:bCs/>
                <w:sz w:val="28"/>
                <w:szCs w:val="28"/>
                <w:lang w:val="mk-MK"/>
              </w:rPr>
              <w:t>/</w:t>
            </w:r>
          </w:p>
        </w:tc>
        <w:tc>
          <w:tcPr>
            <w:tcW w:w="1408" w:type="dxa"/>
          </w:tcPr>
          <w:p w:rsidR="00D02F72" w:rsidRPr="00D02F72" w:rsidRDefault="00D02F72" w:rsidP="00D02F72">
            <w:pPr>
              <w:autoSpaceDE w:val="0"/>
              <w:autoSpaceDN w:val="0"/>
              <w:adjustRightInd w:val="0"/>
              <w:spacing w:before="120" w:after="120"/>
              <w:jc w:val="center"/>
              <w:rPr>
                <w:rFonts w:ascii="Arial Narrow" w:hAnsi="Arial Narrow" w:cs="DejaVuSans-Bold"/>
                <w:bCs/>
                <w:sz w:val="28"/>
                <w:szCs w:val="28"/>
                <w:lang w:val="mk-MK"/>
              </w:rPr>
            </w:pPr>
            <w:r w:rsidRPr="00D02F72">
              <w:rPr>
                <w:rFonts w:ascii="Arial Narrow" w:hAnsi="Arial Narrow" w:cs="DejaVuSans-Bold"/>
                <w:bCs/>
                <w:sz w:val="28"/>
                <w:szCs w:val="28"/>
                <w:lang w:val="mk-MK"/>
              </w:rPr>
              <w:t>/</w:t>
            </w:r>
          </w:p>
        </w:tc>
        <w:tc>
          <w:tcPr>
            <w:tcW w:w="1408" w:type="dxa"/>
          </w:tcPr>
          <w:p w:rsidR="00D02F72" w:rsidRPr="00D02F72" w:rsidRDefault="00D02F72" w:rsidP="00D02F72">
            <w:pPr>
              <w:autoSpaceDE w:val="0"/>
              <w:autoSpaceDN w:val="0"/>
              <w:adjustRightInd w:val="0"/>
              <w:spacing w:before="120" w:after="120"/>
              <w:jc w:val="center"/>
              <w:rPr>
                <w:rFonts w:ascii="Arial Narrow" w:hAnsi="Arial Narrow" w:cs="DejaVuSans-Bold"/>
                <w:bCs/>
                <w:sz w:val="28"/>
                <w:szCs w:val="28"/>
                <w:lang w:val="mk-MK"/>
              </w:rPr>
            </w:pPr>
            <w:r w:rsidRPr="00D02F72">
              <w:rPr>
                <w:rFonts w:ascii="Arial Narrow" w:hAnsi="Arial Narrow" w:cs="DejaVuSans-Bold"/>
                <w:bCs/>
                <w:sz w:val="28"/>
                <w:szCs w:val="28"/>
                <w:lang w:val="mk-MK"/>
              </w:rPr>
              <w:t>40</w:t>
            </w:r>
          </w:p>
        </w:tc>
      </w:tr>
      <w:tr w:rsidR="00D02F72" w:rsidRPr="00D02F72" w:rsidTr="00A07853">
        <w:tc>
          <w:tcPr>
            <w:tcW w:w="9854" w:type="dxa"/>
            <w:gridSpan w:val="7"/>
            <w:shd w:val="clear" w:color="auto" w:fill="C2D69B" w:themeFill="accent3" w:themeFillTint="99"/>
          </w:tcPr>
          <w:p w:rsidR="00D02F72" w:rsidRPr="00D02F72" w:rsidRDefault="00D02F72" w:rsidP="00D02F72">
            <w:pPr>
              <w:autoSpaceDE w:val="0"/>
              <w:autoSpaceDN w:val="0"/>
              <w:adjustRightInd w:val="0"/>
              <w:spacing w:before="120" w:after="120"/>
              <w:jc w:val="center"/>
              <w:rPr>
                <w:rFonts w:ascii="Arial Narrow" w:hAnsi="Arial Narrow" w:cs="DejaVuSans-Bold"/>
                <w:b/>
                <w:bCs/>
                <w:sz w:val="28"/>
                <w:szCs w:val="28"/>
                <w:lang w:val="mk-MK"/>
              </w:rPr>
            </w:pPr>
            <w:r w:rsidRPr="00D02F72">
              <w:rPr>
                <w:rFonts w:ascii="Arial Narrow" w:hAnsi="Arial Narrow" w:cs="DejaVuSans-Bold"/>
                <w:b/>
                <w:bCs/>
                <w:color w:val="FFFFFF"/>
                <w:sz w:val="28"/>
                <w:szCs w:val="28"/>
                <w:lang w:val="mk-MK"/>
              </w:rPr>
              <w:t>Површина на индустриски растенија</w:t>
            </w:r>
          </w:p>
        </w:tc>
      </w:tr>
      <w:tr w:rsidR="00D02F72" w:rsidRPr="00D02F72" w:rsidTr="00A07853">
        <w:tc>
          <w:tcPr>
            <w:tcW w:w="1407" w:type="dxa"/>
            <w:shd w:val="clear" w:color="auto" w:fill="EAF1DD" w:themeFill="accent3" w:themeFillTint="33"/>
          </w:tcPr>
          <w:p w:rsidR="00D02F72" w:rsidRPr="00D02F72" w:rsidRDefault="00D02F72" w:rsidP="00D02F72">
            <w:pPr>
              <w:autoSpaceDE w:val="0"/>
              <w:autoSpaceDN w:val="0"/>
              <w:adjustRightInd w:val="0"/>
              <w:spacing w:before="120" w:after="12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Вкупно</w:t>
            </w:r>
          </w:p>
          <w:p w:rsidR="00D02F72" w:rsidRPr="00D02F72" w:rsidRDefault="00D02F72" w:rsidP="00D02F72">
            <w:pPr>
              <w:autoSpaceDE w:val="0"/>
              <w:autoSpaceDN w:val="0"/>
              <w:adjustRightInd w:val="0"/>
              <w:spacing w:before="120" w:after="120"/>
              <w:jc w:val="center"/>
              <w:rPr>
                <w:rFonts w:ascii="Arial Narrow" w:hAnsi="Arial Narrow" w:cs="DejaVuSans-Bold"/>
                <w:b/>
                <w:bCs/>
                <w:sz w:val="28"/>
                <w:szCs w:val="28"/>
                <w:lang w:val="mk-MK"/>
              </w:rPr>
            </w:pPr>
            <w:r w:rsidRPr="00D02F72">
              <w:rPr>
                <w:rFonts w:ascii="Arial Narrow" w:hAnsi="Arial Narrow" w:cs="DejaVuSans-Bold"/>
                <w:b/>
                <w:bCs/>
                <w:sz w:val="28"/>
                <w:szCs w:val="28"/>
              </w:rPr>
              <w:t>ha</w:t>
            </w:r>
          </w:p>
        </w:tc>
        <w:tc>
          <w:tcPr>
            <w:tcW w:w="1407" w:type="dxa"/>
            <w:shd w:val="clear" w:color="auto" w:fill="EAF1DD" w:themeFill="accent3" w:themeFillTint="33"/>
          </w:tcPr>
          <w:p w:rsidR="00D02F72" w:rsidRPr="00D02F72" w:rsidRDefault="00D02F72" w:rsidP="00D02F72">
            <w:pPr>
              <w:autoSpaceDE w:val="0"/>
              <w:autoSpaceDN w:val="0"/>
              <w:adjustRightInd w:val="0"/>
              <w:spacing w:before="120" w:after="12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Соја</w:t>
            </w:r>
          </w:p>
        </w:tc>
        <w:tc>
          <w:tcPr>
            <w:tcW w:w="1408" w:type="dxa"/>
            <w:shd w:val="clear" w:color="auto" w:fill="EAF1DD" w:themeFill="accent3" w:themeFillTint="33"/>
          </w:tcPr>
          <w:p w:rsidR="00D02F72" w:rsidRPr="00D02F72" w:rsidRDefault="00D02F72" w:rsidP="00D02F72">
            <w:pPr>
              <w:autoSpaceDE w:val="0"/>
              <w:autoSpaceDN w:val="0"/>
              <w:adjustRightInd w:val="0"/>
              <w:spacing w:before="120" w:after="12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Сончоглед</w:t>
            </w:r>
          </w:p>
        </w:tc>
        <w:tc>
          <w:tcPr>
            <w:tcW w:w="1408" w:type="dxa"/>
            <w:shd w:val="clear" w:color="auto" w:fill="EAF1DD" w:themeFill="accent3" w:themeFillTint="33"/>
          </w:tcPr>
          <w:p w:rsidR="00D02F72" w:rsidRPr="00D02F72" w:rsidRDefault="00D02F72" w:rsidP="00D02F72">
            <w:pPr>
              <w:autoSpaceDE w:val="0"/>
              <w:autoSpaceDN w:val="0"/>
              <w:adjustRightInd w:val="0"/>
              <w:spacing w:before="120" w:after="12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Маслодајна репка</w:t>
            </w:r>
          </w:p>
        </w:tc>
        <w:tc>
          <w:tcPr>
            <w:tcW w:w="1408" w:type="dxa"/>
            <w:shd w:val="clear" w:color="auto" w:fill="EAF1DD" w:themeFill="accent3" w:themeFillTint="33"/>
          </w:tcPr>
          <w:p w:rsidR="00D02F72" w:rsidRPr="00D02F72" w:rsidRDefault="00D02F72" w:rsidP="00D02F72">
            <w:pPr>
              <w:autoSpaceDE w:val="0"/>
              <w:autoSpaceDN w:val="0"/>
              <w:adjustRightInd w:val="0"/>
              <w:spacing w:before="120" w:after="12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Тутун</w:t>
            </w:r>
          </w:p>
        </w:tc>
        <w:tc>
          <w:tcPr>
            <w:tcW w:w="1408" w:type="dxa"/>
            <w:shd w:val="clear" w:color="auto" w:fill="EAF1DD" w:themeFill="accent3" w:themeFillTint="33"/>
          </w:tcPr>
          <w:p w:rsidR="00D02F72" w:rsidRPr="00D02F72" w:rsidRDefault="00D02F72" w:rsidP="00D02F72">
            <w:pPr>
              <w:autoSpaceDE w:val="0"/>
              <w:autoSpaceDN w:val="0"/>
              <w:adjustRightInd w:val="0"/>
              <w:spacing w:before="120" w:after="12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Шеќерна репка</w:t>
            </w:r>
          </w:p>
        </w:tc>
        <w:tc>
          <w:tcPr>
            <w:tcW w:w="1408" w:type="dxa"/>
            <w:shd w:val="clear" w:color="auto" w:fill="EAF1DD" w:themeFill="accent3" w:themeFillTint="33"/>
          </w:tcPr>
          <w:p w:rsidR="00D02F72" w:rsidRPr="00D02F72" w:rsidRDefault="00D02F72" w:rsidP="00D02F72">
            <w:pPr>
              <w:autoSpaceDE w:val="0"/>
              <w:autoSpaceDN w:val="0"/>
              <w:adjustRightInd w:val="0"/>
              <w:spacing w:before="12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Други</w:t>
            </w:r>
            <w:r w:rsidRPr="00D02F72">
              <w:rPr>
                <w:rFonts w:ascii="Arial Narrow" w:hAnsi="Arial Narrow" w:cs="DejaVuSans-Bold"/>
                <w:b/>
                <w:bCs/>
                <w:sz w:val="28"/>
                <w:szCs w:val="28"/>
              </w:rPr>
              <w:t xml:space="preserve"> </w:t>
            </w:r>
            <w:r w:rsidRPr="00D02F72">
              <w:rPr>
                <w:rFonts w:ascii="Arial Narrow" w:hAnsi="Arial Narrow" w:cs="DejaVuSans-Bold"/>
                <w:b/>
                <w:bCs/>
                <w:sz w:val="28"/>
                <w:szCs w:val="28"/>
                <w:lang w:val="mk-MK"/>
              </w:rPr>
              <w:t>инд.</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растенија</w:t>
            </w:r>
          </w:p>
        </w:tc>
      </w:tr>
      <w:tr w:rsidR="00D02F72" w:rsidRPr="00D02F72" w:rsidTr="00A07853">
        <w:tc>
          <w:tcPr>
            <w:tcW w:w="1407" w:type="dxa"/>
          </w:tcPr>
          <w:p w:rsidR="00D02F72" w:rsidRPr="00D02F72" w:rsidRDefault="00D02F72" w:rsidP="00D02F72">
            <w:pPr>
              <w:autoSpaceDE w:val="0"/>
              <w:autoSpaceDN w:val="0"/>
              <w:adjustRightInd w:val="0"/>
              <w:spacing w:before="120" w:after="120"/>
              <w:jc w:val="center"/>
              <w:rPr>
                <w:rFonts w:ascii="Arial Narrow" w:hAnsi="Arial Narrow" w:cs="DejaVuSans-Bold"/>
                <w:bCs/>
                <w:sz w:val="28"/>
                <w:szCs w:val="28"/>
                <w:lang w:val="mk-MK"/>
              </w:rPr>
            </w:pPr>
            <w:r w:rsidRPr="00D02F72">
              <w:rPr>
                <w:rFonts w:ascii="Arial Narrow" w:hAnsi="Arial Narrow" w:cs="DejaVuSans-Bold"/>
                <w:bCs/>
                <w:sz w:val="28"/>
                <w:szCs w:val="28"/>
                <w:lang w:val="mk-MK"/>
              </w:rPr>
              <w:t>10</w:t>
            </w:r>
          </w:p>
        </w:tc>
        <w:tc>
          <w:tcPr>
            <w:tcW w:w="1407" w:type="dxa"/>
          </w:tcPr>
          <w:p w:rsidR="00D02F72" w:rsidRPr="00D02F72" w:rsidRDefault="00D02F72" w:rsidP="00D02F72">
            <w:pPr>
              <w:autoSpaceDE w:val="0"/>
              <w:autoSpaceDN w:val="0"/>
              <w:adjustRightInd w:val="0"/>
              <w:spacing w:before="120" w:after="120"/>
              <w:jc w:val="center"/>
              <w:rPr>
                <w:rFonts w:ascii="Arial Narrow" w:hAnsi="Arial Narrow" w:cs="DejaVuSans-Bold"/>
                <w:bCs/>
                <w:sz w:val="28"/>
                <w:szCs w:val="28"/>
                <w:lang w:val="mk-MK"/>
              </w:rPr>
            </w:pPr>
            <w:r w:rsidRPr="00D02F72">
              <w:rPr>
                <w:rFonts w:ascii="Arial Narrow" w:hAnsi="Arial Narrow" w:cs="DejaVuSans-Bold"/>
                <w:bCs/>
                <w:sz w:val="28"/>
                <w:szCs w:val="28"/>
                <w:lang w:val="mk-MK"/>
              </w:rPr>
              <w:t>/</w:t>
            </w:r>
          </w:p>
        </w:tc>
        <w:tc>
          <w:tcPr>
            <w:tcW w:w="1408" w:type="dxa"/>
          </w:tcPr>
          <w:p w:rsidR="00D02F72" w:rsidRPr="00D02F72" w:rsidRDefault="00D02F72" w:rsidP="00D02F72">
            <w:pPr>
              <w:autoSpaceDE w:val="0"/>
              <w:autoSpaceDN w:val="0"/>
              <w:adjustRightInd w:val="0"/>
              <w:spacing w:before="120" w:after="120"/>
              <w:jc w:val="center"/>
              <w:rPr>
                <w:rFonts w:ascii="Arial Narrow" w:hAnsi="Arial Narrow" w:cs="DejaVuSans-Bold"/>
                <w:bCs/>
                <w:sz w:val="28"/>
                <w:szCs w:val="28"/>
                <w:lang w:val="mk-MK"/>
              </w:rPr>
            </w:pPr>
            <w:r w:rsidRPr="00D02F72">
              <w:rPr>
                <w:rFonts w:ascii="Arial Narrow" w:hAnsi="Arial Narrow" w:cs="DejaVuSans-Bold"/>
                <w:bCs/>
                <w:sz w:val="28"/>
                <w:szCs w:val="28"/>
                <w:lang w:val="mk-MK"/>
              </w:rPr>
              <w:t>/</w:t>
            </w:r>
          </w:p>
        </w:tc>
        <w:tc>
          <w:tcPr>
            <w:tcW w:w="1408" w:type="dxa"/>
          </w:tcPr>
          <w:p w:rsidR="00D02F72" w:rsidRPr="00D02F72" w:rsidRDefault="00D02F72" w:rsidP="00D02F72">
            <w:pPr>
              <w:autoSpaceDE w:val="0"/>
              <w:autoSpaceDN w:val="0"/>
              <w:adjustRightInd w:val="0"/>
              <w:spacing w:before="120" w:after="120"/>
              <w:jc w:val="center"/>
              <w:rPr>
                <w:rFonts w:ascii="Arial Narrow" w:hAnsi="Arial Narrow" w:cs="DejaVuSans-Bold"/>
                <w:bCs/>
                <w:sz w:val="28"/>
                <w:szCs w:val="28"/>
                <w:lang w:val="mk-MK"/>
              </w:rPr>
            </w:pPr>
            <w:r w:rsidRPr="00D02F72">
              <w:rPr>
                <w:rFonts w:ascii="Arial Narrow" w:hAnsi="Arial Narrow" w:cs="DejaVuSans-Bold"/>
                <w:bCs/>
                <w:sz w:val="28"/>
                <w:szCs w:val="28"/>
                <w:lang w:val="mk-MK"/>
              </w:rPr>
              <w:t>/</w:t>
            </w:r>
          </w:p>
        </w:tc>
        <w:tc>
          <w:tcPr>
            <w:tcW w:w="1408" w:type="dxa"/>
          </w:tcPr>
          <w:p w:rsidR="00D02F72" w:rsidRPr="00D02F72" w:rsidRDefault="00D02F72" w:rsidP="00D02F72">
            <w:pPr>
              <w:autoSpaceDE w:val="0"/>
              <w:autoSpaceDN w:val="0"/>
              <w:adjustRightInd w:val="0"/>
              <w:spacing w:before="120" w:after="120"/>
              <w:jc w:val="center"/>
              <w:rPr>
                <w:rFonts w:ascii="Arial Narrow" w:hAnsi="Arial Narrow" w:cs="DejaVuSans-Bold"/>
                <w:bCs/>
                <w:sz w:val="28"/>
                <w:szCs w:val="28"/>
                <w:lang w:val="mk-MK"/>
              </w:rPr>
            </w:pPr>
            <w:r w:rsidRPr="00D02F72">
              <w:rPr>
                <w:rFonts w:ascii="Arial Narrow" w:hAnsi="Arial Narrow" w:cs="DejaVuSans-Bold"/>
                <w:bCs/>
                <w:sz w:val="28"/>
                <w:szCs w:val="28"/>
                <w:lang w:val="mk-MK"/>
              </w:rPr>
              <w:t>10</w:t>
            </w:r>
          </w:p>
        </w:tc>
        <w:tc>
          <w:tcPr>
            <w:tcW w:w="1408" w:type="dxa"/>
          </w:tcPr>
          <w:p w:rsidR="00D02F72" w:rsidRPr="00D02F72" w:rsidRDefault="00D02F72" w:rsidP="00D02F72">
            <w:pPr>
              <w:autoSpaceDE w:val="0"/>
              <w:autoSpaceDN w:val="0"/>
              <w:adjustRightInd w:val="0"/>
              <w:spacing w:before="120" w:after="120"/>
              <w:jc w:val="center"/>
              <w:rPr>
                <w:rFonts w:ascii="Arial Narrow" w:hAnsi="Arial Narrow" w:cs="DejaVuSans-Bold"/>
                <w:bCs/>
                <w:sz w:val="28"/>
                <w:szCs w:val="28"/>
                <w:lang w:val="mk-MK"/>
              </w:rPr>
            </w:pPr>
            <w:r w:rsidRPr="00D02F72">
              <w:rPr>
                <w:rFonts w:ascii="Arial Narrow" w:hAnsi="Arial Narrow" w:cs="DejaVuSans-Bold"/>
                <w:bCs/>
                <w:sz w:val="28"/>
                <w:szCs w:val="28"/>
                <w:lang w:val="mk-MK"/>
              </w:rPr>
              <w:t>/</w:t>
            </w:r>
          </w:p>
        </w:tc>
        <w:tc>
          <w:tcPr>
            <w:tcW w:w="1408" w:type="dxa"/>
          </w:tcPr>
          <w:p w:rsidR="00D02F72" w:rsidRPr="00D02F72" w:rsidRDefault="00D02F72" w:rsidP="00D02F72">
            <w:pPr>
              <w:autoSpaceDE w:val="0"/>
              <w:autoSpaceDN w:val="0"/>
              <w:adjustRightInd w:val="0"/>
              <w:spacing w:before="120" w:after="120"/>
              <w:jc w:val="center"/>
              <w:rPr>
                <w:rFonts w:ascii="Arial Narrow" w:hAnsi="Arial Narrow" w:cs="DejaVuSans-Bold"/>
                <w:bCs/>
                <w:sz w:val="28"/>
                <w:szCs w:val="28"/>
                <w:lang w:val="mk-MK"/>
              </w:rPr>
            </w:pPr>
            <w:r w:rsidRPr="00D02F72">
              <w:rPr>
                <w:rFonts w:ascii="Arial Narrow" w:hAnsi="Arial Narrow" w:cs="DejaVuSans-Bold"/>
                <w:bCs/>
                <w:sz w:val="28"/>
                <w:szCs w:val="28"/>
                <w:lang w:val="mk-MK"/>
              </w:rPr>
              <w:t>/</w:t>
            </w:r>
          </w:p>
        </w:tc>
      </w:tr>
      <w:tr w:rsidR="00D02F72" w:rsidRPr="00D02F72" w:rsidTr="00A07853">
        <w:tc>
          <w:tcPr>
            <w:tcW w:w="9854" w:type="dxa"/>
            <w:gridSpan w:val="7"/>
            <w:shd w:val="clear" w:color="auto" w:fill="C2D69B" w:themeFill="accent3" w:themeFillTint="99"/>
          </w:tcPr>
          <w:p w:rsidR="00D02F72" w:rsidRPr="00D02F72" w:rsidRDefault="00D02F72" w:rsidP="00D02F72">
            <w:pPr>
              <w:autoSpaceDE w:val="0"/>
              <w:autoSpaceDN w:val="0"/>
              <w:adjustRightInd w:val="0"/>
              <w:spacing w:before="120" w:after="120"/>
              <w:jc w:val="center"/>
              <w:rPr>
                <w:rFonts w:ascii="Arial Narrow" w:hAnsi="Arial Narrow" w:cs="DejaVuSans-Bold"/>
                <w:b/>
                <w:bCs/>
                <w:sz w:val="28"/>
                <w:szCs w:val="28"/>
                <w:lang w:val="mk-MK"/>
              </w:rPr>
            </w:pPr>
            <w:r w:rsidRPr="00D02F72">
              <w:rPr>
                <w:rFonts w:ascii="Arial Narrow" w:hAnsi="Arial Narrow" w:cs="DejaVuSans-Bold"/>
                <w:b/>
                <w:bCs/>
                <w:color w:val="FFFFFF"/>
                <w:sz w:val="28"/>
                <w:szCs w:val="28"/>
                <w:lang w:val="mk-MK"/>
              </w:rPr>
              <w:t>Површина на фуражни растенија</w:t>
            </w:r>
          </w:p>
        </w:tc>
      </w:tr>
      <w:tr w:rsidR="00D02F72" w:rsidRPr="00D02F72" w:rsidTr="00A07853">
        <w:tc>
          <w:tcPr>
            <w:tcW w:w="1407" w:type="dxa"/>
            <w:shd w:val="clear" w:color="auto" w:fill="EAF1DD" w:themeFill="accent3" w:themeFillTint="33"/>
          </w:tcPr>
          <w:p w:rsidR="00D02F72" w:rsidRPr="00D02F72" w:rsidRDefault="00D02F72" w:rsidP="00D02F72">
            <w:pPr>
              <w:autoSpaceDE w:val="0"/>
              <w:autoSpaceDN w:val="0"/>
              <w:adjustRightInd w:val="0"/>
              <w:spacing w:before="120" w:after="12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Вкупно</w:t>
            </w:r>
          </w:p>
          <w:p w:rsidR="00D02F72" w:rsidRPr="00D02F72" w:rsidRDefault="00D02F72" w:rsidP="00D02F72">
            <w:pPr>
              <w:autoSpaceDE w:val="0"/>
              <w:autoSpaceDN w:val="0"/>
              <w:adjustRightInd w:val="0"/>
              <w:spacing w:before="120" w:after="120"/>
              <w:jc w:val="center"/>
              <w:rPr>
                <w:rFonts w:ascii="Arial Narrow" w:hAnsi="Arial Narrow" w:cs="DejaVuSans-Bold"/>
                <w:b/>
                <w:bCs/>
                <w:sz w:val="28"/>
                <w:szCs w:val="28"/>
                <w:lang w:val="mk-MK"/>
              </w:rPr>
            </w:pPr>
            <w:r w:rsidRPr="00D02F72">
              <w:rPr>
                <w:rFonts w:ascii="Arial Narrow" w:hAnsi="Arial Narrow" w:cs="DejaVuSans-Bold"/>
                <w:b/>
                <w:bCs/>
                <w:sz w:val="28"/>
                <w:szCs w:val="28"/>
              </w:rPr>
              <w:t>ha</w:t>
            </w:r>
          </w:p>
        </w:tc>
        <w:tc>
          <w:tcPr>
            <w:tcW w:w="1407" w:type="dxa"/>
            <w:shd w:val="clear" w:color="auto" w:fill="EAF1DD" w:themeFill="accent3" w:themeFillTint="33"/>
          </w:tcPr>
          <w:p w:rsidR="00D02F72" w:rsidRPr="00D02F72" w:rsidRDefault="00D02F72" w:rsidP="00D02F72">
            <w:pPr>
              <w:autoSpaceDE w:val="0"/>
              <w:autoSpaceDN w:val="0"/>
              <w:adjustRightInd w:val="0"/>
              <w:spacing w:before="12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Добиточна</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репка</w:t>
            </w:r>
          </w:p>
        </w:tc>
        <w:tc>
          <w:tcPr>
            <w:tcW w:w="1408" w:type="dxa"/>
            <w:shd w:val="clear" w:color="auto" w:fill="EAF1DD" w:themeFill="accent3" w:themeFillTint="33"/>
          </w:tcPr>
          <w:p w:rsidR="00D02F72" w:rsidRPr="00D02F72" w:rsidRDefault="00D02F72" w:rsidP="00D02F72">
            <w:pPr>
              <w:autoSpaceDE w:val="0"/>
              <w:autoSpaceDN w:val="0"/>
              <w:adjustRightInd w:val="0"/>
              <w:spacing w:before="120" w:after="12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Луцерка</w:t>
            </w:r>
          </w:p>
        </w:tc>
        <w:tc>
          <w:tcPr>
            <w:tcW w:w="1408" w:type="dxa"/>
            <w:shd w:val="clear" w:color="auto" w:fill="EAF1DD" w:themeFill="accent3" w:themeFillTint="33"/>
          </w:tcPr>
          <w:p w:rsidR="00D02F72" w:rsidRPr="00D02F72" w:rsidRDefault="00D02F72" w:rsidP="00D02F72">
            <w:pPr>
              <w:autoSpaceDE w:val="0"/>
              <w:autoSpaceDN w:val="0"/>
              <w:adjustRightInd w:val="0"/>
              <w:spacing w:before="120" w:after="12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Детелина</w:t>
            </w:r>
          </w:p>
        </w:tc>
        <w:tc>
          <w:tcPr>
            <w:tcW w:w="1408" w:type="dxa"/>
            <w:shd w:val="clear" w:color="auto" w:fill="EAF1DD" w:themeFill="accent3" w:themeFillTint="33"/>
          </w:tcPr>
          <w:p w:rsidR="00D02F72" w:rsidRPr="00D02F72" w:rsidRDefault="00D02F72" w:rsidP="00D02F72">
            <w:pPr>
              <w:autoSpaceDE w:val="0"/>
              <w:autoSpaceDN w:val="0"/>
              <w:adjustRightInd w:val="0"/>
              <w:spacing w:before="12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Пченка</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за</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зелена</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маса</w:t>
            </w:r>
          </w:p>
        </w:tc>
        <w:tc>
          <w:tcPr>
            <w:tcW w:w="1408" w:type="dxa"/>
            <w:shd w:val="clear" w:color="auto" w:fill="EAF1DD" w:themeFill="accent3" w:themeFillTint="33"/>
          </w:tcPr>
          <w:p w:rsidR="00D02F72" w:rsidRPr="00D02F72" w:rsidRDefault="00D02F72" w:rsidP="00D02F72">
            <w:pPr>
              <w:autoSpaceDE w:val="0"/>
              <w:autoSpaceDN w:val="0"/>
              <w:adjustRightInd w:val="0"/>
              <w:spacing w:before="12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Фуражни смеси</w:t>
            </w:r>
          </w:p>
        </w:tc>
        <w:tc>
          <w:tcPr>
            <w:tcW w:w="1408" w:type="dxa"/>
            <w:shd w:val="clear" w:color="auto" w:fill="EAF1DD" w:themeFill="accent3" w:themeFillTint="33"/>
          </w:tcPr>
          <w:p w:rsidR="00D02F72" w:rsidRPr="00D02F72" w:rsidRDefault="00D02F72" w:rsidP="00D02F72">
            <w:pPr>
              <w:autoSpaceDE w:val="0"/>
              <w:autoSpaceDN w:val="0"/>
              <w:adjustRightInd w:val="0"/>
              <w:spacing w:before="12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Други</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фуражни</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растенија</w:t>
            </w:r>
          </w:p>
        </w:tc>
      </w:tr>
      <w:tr w:rsidR="00D02F72" w:rsidRPr="00D02F72" w:rsidTr="00A07853">
        <w:tc>
          <w:tcPr>
            <w:tcW w:w="1407" w:type="dxa"/>
          </w:tcPr>
          <w:p w:rsidR="00D02F72" w:rsidRPr="00D02F72" w:rsidRDefault="00D02F72" w:rsidP="00D02F72">
            <w:pPr>
              <w:autoSpaceDE w:val="0"/>
              <w:autoSpaceDN w:val="0"/>
              <w:adjustRightInd w:val="0"/>
              <w:spacing w:before="120" w:after="120"/>
              <w:jc w:val="center"/>
              <w:rPr>
                <w:rFonts w:ascii="Arial Narrow" w:hAnsi="Arial Narrow" w:cs="DejaVuSans-Bold"/>
                <w:bCs/>
                <w:sz w:val="28"/>
                <w:szCs w:val="28"/>
                <w:lang w:val="mk-MK"/>
              </w:rPr>
            </w:pPr>
            <w:r w:rsidRPr="00D02F72">
              <w:rPr>
                <w:rFonts w:ascii="Arial Narrow" w:hAnsi="Arial Narrow" w:cs="DejaVuSans-Bold"/>
                <w:bCs/>
                <w:sz w:val="28"/>
                <w:szCs w:val="28"/>
                <w:lang w:val="mk-MK"/>
              </w:rPr>
              <w:t>468</w:t>
            </w:r>
          </w:p>
        </w:tc>
        <w:tc>
          <w:tcPr>
            <w:tcW w:w="1407" w:type="dxa"/>
          </w:tcPr>
          <w:p w:rsidR="00D02F72" w:rsidRPr="00D02F72" w:rsidRDefault="00D02F72" w:rsidP="00D02F72">
            <w:pPr>
              <w:autoSpaceDE w:val="0"/>
              <w:autoSpaceDN w:val="0"/>
              <w:adjustRightInd w:val="0"/>
              <w:spacing w:before="120" w:after="120"/>
              <w:jc w:val="center"/>
              <w:rPr>
                <w:rFonts w:ascii="Arial Narrow" w:hAnsi="Arial Narrow" w:cs="DejaVuSans-Bold"/>
                <w:bCs/>
                <w:sz w:val="28"/>
                <w:szCs w:val="28"/>
                <w:lang w:val="mk-MK"/>
              </w:rPr>
            </w:pPr>
            <w:r w:rsidRPr="00D02F72">
              <w:rPr>
                <w:rFonts w:ascii="Arial Narrow" w:hAnsi="Arial Narrow" w:cs="DejaVuSans-Bold"/>
                <w:bCs/>
                <w:sz w:val="28"/>
                <w:szCs w:val="28"/>
                <w:lang w:val="mk-MK"/>
              </w:rPr>
              <w:t>/</w:t>
            </w:r>
          </w:p>
        </w:tc>
        <w:tc>
          <w:tcPr>
            <w:tcW w:w="1408" w:type="dxa"/>
          </w:tcPr>
          <w:p w:rsidR="00D02F72" w:rsidRPr="00D02F72" w:rsidRDefault="00D02F72" w:rsidP="00D02F72">
            <w:pPr>
              <w:autoSpaceDE w:val="0"/>
              <w:autoSpaceDN w:val="0"/>
              <w:adjustRightInd w:val="0"/>
              <w:spacing w:before="120" w:after="120"/>
              <w:jc w:val="center"/>
              <w:rPr>
                <w:rFonts w:ascii="Arial Narrow" w:hAnsi="Arial Narrow" w:cs="DejaVuSans-Bold"/>
                <w:bCs/>
                <w:sz w:val="28"/>
                <w:szCs w:val="28"/>
                <w:lang w:val="mk-MK"/>
              </w:rPr>
            </w:pPr>
            <w:r w:rsidRPr="00D02F72">
              <w:rPr>
                <w:rFonts w:ascii="Arial Narrow" w:hAnsi="Arial Narrow" w:cs="DejaVuSans-Bold"/>
                <w:bCs/>
                <w:sz w:val="28"/>
                <w:szCs w:val="28"/>
                <w:lang w:val="mk-MK"/>
              </w:rPr>
              <w:t>/</w:t>
            </w:r>
          </w:p>
        </w:tc>
        <w:tc>
          <w:tcPr>
            <w:tcW w:w="1408" w:type="dxa"/>
          </w:tcPr>
          <w:p w:rsidR="00D02F72" w:rsidRPr="00D02F72" w:rsidRDefault="00D02F72" w:rsidP="00D02F72">
            <w:pPr>
              <w:autoSpaceDE w:val="0"/>
              <w:autoSpaceDN w:val="0"/>
              <w:adjustRightInd w:val="0"/>
              <w:spacing w:before="120" w:after="120"/>
              <w:jc w:val="center"/>
              <w:rPr>
                <w:rFonts w:ascii="Arial Narrow" w:hAnsi="Arial Narrow" w:cs="DejaVuSans-Bold"/>
                <w:bCs/>
                <w:sz w:val="28"/>
                <w:szCs w:val="28"/>
                <w:lang w:val="mk-MK"/>
              </w:rPr>
            </w:pPr>
            <w:r w:rsidRPr="00D02F72">
              <w:rPr>
                <w:rFonts w:ascii="Arial Narrow" w:hAnsi="Arial Narrow" w:cs="DejaVuSans-Bold"/>
                <w:bCs/>
                <w:sz w:val="28"/>
                <w:szCs w:val="28"/>
                <w:lang w:val="mk-MK"/>
              </w:rPr>
              <w:t>337</w:t>
            </w:r>
          </w:p>
        </w:tc>
        <w:tc>
          <w:tcPr>
            <w:tcW w:w="1408" w:type="dxa"/>
          </w:tcPr>
          <w:p w:rsidR="00D02F72" w:rsidRPr="00D02F72" w:rsidRDefault="00D02F72" w:rsidP="00D02F72">
            <w:pPr>
              <w:autoSpaceDE w:val="0"/>
              <w:autoSpaceDN w:val="0"/>
              <w:adjustRightInd w:val="0"/>
              <w:spacing w:before="120" w:after="120"/>
              <w:jc w:val="center"/>
              <w:rPr>
                <w:rFonts w:ascii="Arial Narrow" w:hAnsi="Arial Narrow" w:cs="DejaVuSans-Bold"/>
                <w:bCs/>
                <w:sz w:val="28"/>
                <w:szCs w:val="28"/>
                <w:lang w:val="mk-MK"/>
              </w:rPr>
            </w:pPr>
            <w:r w:rsidRPr="00D02F72">
              <w:rPr>
                <w:rFonts w:ascii="Arial Narrow" w:hAnsi="Arial Narrow" w:cs="DejaVuSans-Bold"/>
                <w:bCs/>
                <w:sz w:val="28"/>
                <w:szCs w:val="28"/>
                <w:lang w:val="mk-MK"/>
              </w:rPr>
              <w:t>/</w:t>
            </w:r>
          </w:p>
        </w:tc>
        <w:tc>
          <w:tcPr>
            <w:tcW w:w="1408" w:type="dxa"/>
          </w:tcPr>
          <w:p w:rsidR="00D02F72" w:rsidRPr="00D02F72" w:rsidRDefault="00D02F72" w:rsidP="00D02F72">
            <w:pPr>
              <w:autoSpaceDE w:val="0"/>
              <w:autoSpaceDN w:val="0"/>
              <w:adjustRightInd w:val="0"/>
              <w:spacing w:before="120" w:after="120"/>
              <w:jc w:val="center"/>
              <w:rPr>
                <w:rFonts w:ascii="Arial Narrow" w:hAnsi="Arial Narrow" w:cs="DejaVuSans-Bold"/>
                <w:bCs/>
                <w:sz w:val="28"/>
                <w:szCs w:val="28"/>
                <w:lang w:val="mk-MK"/>
              </w:rPr>
            </w:pPr>
            <w:r w:rsidRPr="00D02F72">
              <w:rPr>
                <w:rFonts w:ascii="Arial Narrow" w:hAnsi="Arial Narrow" w:cs="DejaVuSans-Bold"/>
                <w:bCs/>
                <w:sz w:val="28"/>
                <w:szCs w:val="28"/>
                <w:lang w:val="mk-MK"/>
              </w:rPr>
              <w:t>/</w:t>
            </w:r>
          </w:p>
        </w:tc>
        <w:tc>
          <w:tcPr>
            <w:tcW w:w="1408" w:type="dxa"/>
          </w:tcPr>
          <w:p w:rsidR="00D02F72" w:rsidRPr="00D02F72" w:rsidRDefault="00D02F72" w:rsidP="00D02F72">
            <w:pPr>
              <w:autoSpaceDE w:val="0"/>
              <w:autoSpaceDN w:val="0"/>
              <w:adjustRightInd w:val="0"/>
              <w:spacing w:before="120" w:after="120"/>
              <w:jc w:val="center"/>
              <w:rPr>
                <w:rFonts w:ascii="Arial Narrow" w:hAnsi="Arial Narrow" w:cs="DejaVuSans-Bold"/>
                <w:bCs/>
                <w:sz w:val="28"/>
                <w:szCs w:val="28"/>
                <w:lang w:val="mk-MK"/>
              </w:rPr>
            </w:pPr>
            <w:r w:rsidRPr="00D02F72">
              <w:rPr>
                <w:rFonts w:ascii="Arial Narrow" w:hAnsi="Arial Narrow" w:cs="DejaVuSans-Bold"/>
                <w:bCs/>
                <w:sz w:val="28"/>
                <w:szCs w:val="28"/>
                <w:lang w:val="mk-MK"/>
              </w:rPr>
              <w:t>131</w:t>
            </w:r>
          </w:p>
        </w:tc>
      </w:tr>
    </w:tbl>
    <w:p w:rsidR="00D02F72" w:rsidRPr="00D02F72" w:rsidRDefault="00D02F72" w:rsidP="00D02F72">
      <w:pPr>
        <w:spacing w:line="300" w:lineRule="exact"/>
        <w:jc w:val="both"/>
        <w:rPr>
          <w:rFonts w:ascii="Arial" w:eastAsia="Calibri" w:hAnsi="Arial" w:cs="Arial"/>
          <w:lang w:val="mk-MK"/>
        </w:rPr>
      </w:pPr>
    </w:p>
    <w:p w:rsidR="00D02F72" w:rsidRPr="00D02F72" w:rsidRDefault="00D02F72" w:rsidP="00D02F72">
      <w:pPr>
        <w:spacing w:line="300" w:lineRule="exact"/>
        <w:jc w:val="both"/>
        <w:rPr>
          <w:rFonts w:ascii="Arial" w:eastAsia="Calibri" w:hAnsi="Arial" w:cs="Arial"/>
          <w:lang w:val="mk-MK"/>
        </w:rPr>
      </w:pPr>
      <w:r w:rsidRPr="00D02F72">
        <w:rPr>
          <w:rFonts w:ascii="Arial" w:eastAsia="Calibri" w:hAnsi="Arial" w:cs="Arial"/>
          <w:lang w:val="mk-MK"/>
        </w:rPr>
        <w:t>Количината на емисија на индиректните стакленички гасови е дадена воТабела 34:</w:t>
      </w:r>
    </w:p>
    <w:p w:rsidR="00D02F72" w:rsidRPr="00D02F72" w:rsidRDefault="00D02F72" w:rsidP="00D02F72">
      <w:pPr>
        <w:keepNext/>
        <w:tabs>
          <w:tab w:val="left" w:pos="1701"/>
        </w:tabs>
        <w:spacing w:before="120" w:after="120" w:line="240" w:lineRule="auto"/>
        <w:ind w:left="1701" w:right="567" w:hanging="1134"/>
        <w:rPr>
          <w:rFonts w:ascii="StobiSerifIt Regular" w:hAnsi="StobiSerifIt Regular"/>
          <w:i/>
          <w:color w:val="4F6228" w:themeColor="accent3" w:themeShade="80"/>
          <w:sz w:val="28"/>
          <w:szCs w:val="28"/>
          <w:lang w:val="mk-MK" w:eastAsia="en-GB"/>
        </w:rPr>
      </w:pPr>
      <w:r w:rsidRPr="00D02F72">
        <w:rPr>
          <w:rFonts w:ascii="StobiSerifIt Regular" w:hAnsi="StobiSerifIt Regular"/>
          <w:i/>
          <w:color w:val="4F6228" w:themeColor="accent3" w:themeShade="80"/>
          <w:lang w:val="mk-MK" w:eastAsia="en-GB"/>
        </w:rPr>
        <w:t>Количина на емисија на директните и индиректните стакленички гасови при некомплетно согорување на остатоците од земјоделските култури</w:t>
      </w:r>
    </w:p>
    <w:tbl>
      <w:tblPr>
        <w:tblStyle w:val="TableGrid"/>
        <w:tblW w:w="0" w:type="auto"/>
        <w:tblLook w:val="04A0" w:firstRow="1" w:lastRow="0" w:firstColumn="1" w:lastColumn="0" w:noHBand="0" w:noVBand="1"/>
      </w:tblPr>
      <w:tblGrid>
        <w:gridCol w:w="1526"/>
        <w:gridCol w:w="1559"/>
      </w:tblGrid>
      <w:tr w:rsidR="00D02F72" w:rsidRPr="00D02F72" w:rsidTr="00A07853">
        <w:tc>
          <w:tcPr>
            <w:tcW w:w="1526" w:type="dxa"/>
            <w:shd w:val="clear" w:color="auto" w:fill="C2D69B" w:themeFill="accent3" w:themeFillTint="99"/>
          </w:tcPr>
          <w:p w:rsidR="00D02F72" w:rsidRPr="00D02F72" w:rsidRDefault="00D02F72" w:rsidP="00D02F72">
            <w:pPr>
              <w:autoSpaceDE w:val="0"/>
              <w:autoSpaceDN w:val="0"/>
              <w:adjustRightInd w:val="0"/>
              <w:spacing w:after="120"/>
              <w:jc w:val="center"/>
              <w:rPr>
                <w:rFonts w:ascii="Arial Narrow" w:hAnsi="Arial Narrow" w:cs="DejaVuSans"/>
                <w:b/>
                <w:sz w:val="28"/>
                <w:szCs w:val="28"/>
                <w:lang w:val="mk-MK"/>
              </w:rPr>
            </w:pPr>
            <w:r w:rsidRPr="00D02F72">
              <w:rPr>
                <w:rFonts w:ascii="Arial Narrow" w:hAnsi="Arial Narrow" w:cs="DejaVuSans"/>
                <w:b/>
                <w:sz w:val="28"/>
                <w:szCs w:val="28"/>
                <w:lang w:val="mk-MK"/>
              </w:rPr>
              <w:t>Гас</w:t>
            </w:r>
          </w:p>
        </w:tc>
        <w:tc>
          <w:tcPr>
            <w:tcW w:w="1559" w:type="dxa"/>
            <w:shd w:val="clear" w:color="auto" w:fill="C2D69B" w:themeFill="accent3" w:themeFillTint="99"/>
          </w:tcPr>
          <w:p w:rsidR="00D02F72" w:rsidRPr="00D02F72" w:rsidRDefault="00D02F72" w:rsidP="00D02F72">
            <w:pPr>
              <w:autoSpaceDE w:val="0"/>
              <w:autoSpaceDN w:val="0"/>
              <w:adjustRightInd w:val="0"/>
              <w:spacing w:after="120"/>
              <w:jc w:val="center"/>
              <w:rPr>
                <w:rFonts w:ascii="Arial Narrow" w:hAnsi="Arial Narrow" w:cs="DejaVuSans"/>
                <w:b/>
                <w:sz w:val="28"/>
                <w:szCs w:val="28"/>
                <w:lang w:val="mk-MK"/>
              </w:rPr>
            </w:pPr>
            <w:r w:rsidRPr="00D02F72">
              <w:rPr>
                <w:rFonts w:ascii="Arial Narrow" w:hAnsi="Arial Narrow" w:cs="DejaVuSans"/>
                <w:b/>
                <w:sz w:val="28"/>
                <w:szCs w:val="28"/>
                <w:lang w:val="mk-MK"/>
              </w:rPr>
              <w:t>Тони</w:t>
            </w:r>
          </w:p>
        </w:tc>
      </w:tr>
      <w:tr w:rsidR="00D02F72" w:rsidRPr="00D02F72" w:rsidTr="00A07853">
        <w:tc>
          <w:tcPr>
            <w:tcW w:w="1526" w:type="dxa"/>
            <w:shd w:val="clear" w:color="auto" w:fill="EAF1DD" w:themeFill="accent3" w:themeFillTint="33"/>
          </w:tcPr>
          <w:p w:rsidR="00D02F72" w:rsidRPr="00D02F72" w:rsidRDefault="00D02F72" w:rsidP="00D02F72">
            <w:pPr>
              <w:autoSpaceDE w:val="0"/>
              <w:autoSpaceDN w:val="0"/>
              <w:adjustRightInd w:val="0"/>
              <w:spacing w:after="120"/>
              <w:jc w:val="center"/>
              <w:rPr>
                <w:rFonts w:ascii="Arial Narrow" w:hAnsi="Arial Narrow" w:cs="DejaVuSans"/>
                <w:sz w:val="28"/>
                <w:szCs w:val="28"/>
              </w:rPr>
            </w:pPr>
            <w:r w:rsidRPr="00D02F72">
              <w:rPr>
                <w:rFonts w:ascii="Arial Narrow" w:hAnsi="Arial Narrow" w:cs="DejaVuSans-Bold"/>
                <w:b/>
                <w:bCs/>
                <w:sz w:val="28"/>
                <w:szCs w:val="28"/>
                <w:lang w:val="mk-MK"/>
              </w:rPr>
              <w:t>CH4</w:t>
            </w:r>
          </w:p>
        </w:tc>
        <w:tc>
          <w:tcPr>
            <w:tcW w:w="1559" w:type="dxa"/>
          </w:tcPr>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
                <w:sz w:val="28"/>
                <w:szCs w:val="28"/>
                <w:lang w:val="mk-MK"/>
              </w:rPr>
              <w:t>0,49</w:t>
            </w:r>
          </w:p>
        </w:tc>
      </w:tr>
      <w:tr w:rsidR="00D02F72" w:rsidRPr="00D02F72" w:rsidTr="00A07853">
        <w:tc>
          <w:tcPr>
            <w:tcW w:w="1526" w:type="dxa"/>
            <w:shd w:val="clear" w:color="auto" w:fill="EAF1DD" w:themeFill="accent3" w:themeFillTint="33"/>
          </w:tcPr>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Bold"/>
                <w:b/>
                <w:bCs/>
                <w:sz w:val="28"/>
                <w:szCs w:val="28"/>
                <w:lang w:val="mk-MK"/>
              </w:rPr>
              <w:t>CO</w:t>
            </w:r>
          </w:p>
        </w:tc>
        <w:tc>
          <w:tcPr>
            <w:tcW w:w="1559" w:type="dxa"/>
          </w:tcPr>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
                <w:sz w:val="28"/>
                <w:szCs w:val="28"/>
                <w:lang w:val="mk-MK"/>
              </w:rPr>
              <w:t>34,65</w:t>
            </w:r>
          </w:p>
        </w:tc>
      </w:tr>
      <w:tr w:rsidR="00D02F72" w:rsidRPr="00D02F72" w:rsidTr="00A07853">
        <w:tc>
          <w:tcPr>
            <w:tcW w:w="1526" w:type="dxa"/>
            <w:shd w:val="clear" w:color="auto" w:fill="EAF1DD" w:themeFill="accent3" w:themeFillTint="33"/>
          </w:tcPr>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Bold"/>
                <w:b/>
                <w:bCs/>
                <w:sz w:val="28"/>
                <w:szCs w:val="28"/>
                <w:lang w:val="mk-MK"/>
              </w:rPr>
              <w:t>N2O</w:t>
            </w:r>
          </w:p>
        </w:tc>
        <w:tc>
          <w:tcPr>
            <w:tcW w:w="1559" w:type="dxa"/>
          </w:tcPr>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
                <w:sz w:val="28"/>
                <w:szCs w:val="28"/>
                <w:lang w:val="mk-MK"/>
              </w:rPr>
              <w:t>0,03</w:t>
            </w:r>
          </w:p>
        </w:tc>
      </w:tr>
    </w:tbl>
    <w:p w:rsidR="00D02F72" w:rsidRPr="00D02F72" w:rsidRDefault="00D02F72" w:rsidP="00D02F72">
      <w:pPr>
        <w:keepNext/>
        <w:numPr>
          <w:ilvl w:val="2"/>
          <w:numId w:val="0"/>
        </w:numPr>
        <w:tabs>
          <w:tab w:val="left" w:pos="1134"/>
        </w:tabs>
        <w:spacing w:before="400" w:line="300" w:lineRule="exact"/>
        <w:ind w:left="1134" w:hanging="1134"/>
        <w:outlineLvl w:val="2"/>
        <w:rPr>
          <w:rFonts w:ascii="Arial Black" w:hAnsi="Arial Black" w:cs="Times New Roman"/>
          <w:b/>
          <w:bCs/>
          <w:color w:val="4F6228"/>
          <w:lang w:val="mk-MK" w:eastAsia="en-GB"/>
        </w:rPr>
      </w:pPr>
      <w:bookmarkStart w:id="26" w:name="_Toc382343195"/>
      <w:bookmarkStart w:id="27" w:name="_Toc382343496"/>
      <w:bookmarkStart w:id="28" w:name="_Toc382343808"/>
      <w:bookmarkStart w:id="29" w:name="_Toc382344117"/>
      <w:bookmarkStart w:id="30" w:name="_Toc382344118"/>
      <w:bookmarkEnd w:id="26"/>
      <w:bookmarkEnd w:id="27"/>
      <w:bookmarkEnd w:id="28"/>
      <w:bookmarkEnd w:id="29"/>
      <w:r w:rsidRPr="00D02F72">
        <w:rPr>
          <w:rFonts w:ascii="Arial Black" w:hAnsi="Arial Black" w:cs="Times New Roman"/>
          <w:b/>
          <w:bCs/>
          <w:color w:val="4F6228"/>
          <w:lang w:val="mk-MK" w:eastAsia="en-GB"/>
        </w:rPr>
        <w:t>Шумарство</w:t>
      </w:r>
      <w:bookmarkEnd w:id="30"/>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 xml:space="preserve">Шумите се природно одлагалиште на јаглеродниот диоксид, преку процесот на фотосинтеза. Процесот на отстранување на јаглеродниот диоксид од атмосферата е познат како секвестрација на јаглеродниот диоксид. За да се пресметаат емисиите односно отстранувањето на јаглеродниот диоксид во шумите, потребни се долгогодишни мерења на годишните промени во шумите (стапка на растење на </w:t>
      </w:r>
      <w:r w:rsidRPr="00D02F72">
        <w:rPr>
          <w:rFonts w:ascii="Arial Narrow" w:hAnsi="Arial Narrow" w:cs="DejaVuSans"/>
          <w:sz w:val="28"/>
          <w:szCs w:val="28"/>
          <w:lang w:val="mk-MK"/>
        </w:rPr>
        <w:lastRenderedPageBreak/>
        <w:t>биомасата, шумска сеча, болести на дрвјата, итн.). Поради непостоењето на вакви истражувања при подготовка на општинскиот инвентар на стакленички гасови направена е апроксимативна пресметка за 2012 година на шумските одлагалишта. Под шуми во општината Богданци се наоѓа површина од 3457 ха. Климатските карактеристики, распоредот на врнежите и високите температури не даваат можности за развивање на високо продуктивни шуми. Во структурата на шумите во Општината доминира дрвна маса чија коњуктурна и економска вредност е мала, застапени се грмушките честарите и макиите, додека дабовата шума е застапена во помал процент. Податоците за површината и типот на шуми се претставени во Табела 35.</w:t>
      </w:r>
    </w:p>
    <w:p w:rsidR="00D02F72" w:rsidRPr="00D02F72" w:rsidRDefault="00D02F72" w:rsidP="00D02F72">
      <w:pPr>
        <w:keepNext/>
        <w:tabs>
          <w:tab w:val="left" w:pos="1701"/>
        </w:tabs>
        <w:spacing w:before="120" w:after="120" w:line="240" w:lineRule="auto"/>
        <w:ind w:left="1701" w:right="567" w:hanging="1134"/>
        <w:rPr>
          <w:rFonts w:ascii="StobiSerifIt Regular" w:hAnsi="StobiSerifIt Regular"/>
          <w:b/>
          <w:i/>
          <w:color w:val="4F6228" w:themeColor="accent3" w:themeShade="80"/>
          <w:sz w:val="28"/>
          <w:szCs w:val="28"/>
          <w:lang w:val="mk-MK" w:eastAsia="en-GB"/>
        </w:rPr>
      </w:pPr>
      <w:r w:rsidRPr="00D02F72">
        <w:rPr>
          <w:rFonts w:ascii="StobiSerifIt Regular" w:hAnsi="StobiSerifIt Regular"/>
          <w:i/>
          <w:color w:val="4F6228" w:themeColor="accent3" w:themeShade="80"/>
          <w:lang w:val="mk-MK" w:eastAsia="en-GB"/>
        </w:rPr>
        <w:t>Преглед на шумата во општина Богданци</w:t>
      </w:r>
    </w:p>
    <w:tbl>
      <w:tblPr>
        <w:tblStyle w:val="TableGrid"/>
        <w:tblW w:w="0" w:type="auto"/>
        <w:tblLook w:val="04A0" w:firstRow="1" w:lastRow="0" w:firstColumn="1" w:lastColumn="0" w:noHBand="0" w:noVBand="1"/>
      </w:tblPr>
      <w:tblGrid>
        <w:gridCol w:w="2378"/>
        <w:gridCol w:w="2410"/>
        <w:gridCol w:w="2403"/>
        <w:gridCol w:w="2385"/>
      </w:tblGrid>
      <w:tr w:rsidR="00D02F72" w:rsidRPr="00D02F72" w:rsidTr="00A07853">
        <w:tc>
          <w:tcPr>
            <w:tcW w:w="2463"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Вкупно шума</w:t>
            </w:r>
          </w:p>
          <w:p w:rsidR="00D02F72" w:rsidRPr="00D02F72" w:rsidRDefault="00D02F72" w:rsidP="00D02F72">
            <w:pPr>
              <w:tabs>
                <w:tab w:val="left" w:pos="3675"/>
              </w:tabs>
              <w:jc w:val="both"/>
              <w:rPr>
                <w:rFonts w:ascii="Arial Narrow" w:hAnsi="Arial Narrow" w:cs="DejaVuSans-Bold"/>
                <w:b/>
                <w:bCs/>
                <w:sz w:val="28"/>
                <w:szCs w:val="28"/>
              </w:rPr>
            </w:pPr>
          </w:p>
          <w:p w:rsidR="00D02F72" w:rsidRPr="00D02F72" w:rsidRDefault="00D02F72" w:rsidP="00D02F72">
            <w:pPr>
              <w:tabs>
                <w:tab w:val="left" w:pos="3675"/>
              </w:tabs>
              <w:jc w:val="center"/>
              <w:rPr>
                <w:rFonts w:ascii="Arial Narrow" w:hAnsi="Arial Narrow"/>
                <w:b/>
                <w:bCs/>
                <w:noProof/>
                <w:sz w:val="28"/>
                <w:szCs w:val="28"/>
              </w:rPr>
            </w:pPr>
            <w:r w:rsidRPr="00D02F72">
              <w:rPr>
                <w:rFonts w:ascii="Arial Narrow" w:hAnsi="Arial Narrow" w:cs="DejaVuSans-Bold"/>
                <w:b/>
                <w:bCs/>
                <w:sz w:val="28"/>
                <w:szCs w:val="28"/>
              </w:rPr>
              <w:t>ha</w:t>
            </w:r>
          </w:p>
        </w:tc>
        <w:tc>
          <w:tcPr>
            <w:tcW w:w="2463"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Вкупно чисти листопадни насади</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rPr>
              <w:t>ha</w:t>
            </w:r>
          </w:p>
        </w:tc>
        <w:tc>
          <w:tcPr>
            <w:tcW w:w="2464"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Чисти иглолисни</w:t>
            </w:r>
          </w:p>
          <w:p w:rsidR="00D02F72" w:rsidRPr="00D02F72" w:rsidRDefault="00D02F72" w:rsidP="00D02F72">
            <w:pPr>
              <w:tabs>
                <w:tab w:val="left" w:pos="3675"/>
              </w:tabs>
              <w:jc w:val="center"/>
              <w:rPr>
                <w:rFonts w:ascii="Arial Narrow" w:hAnsi="Arial Narrow" w:cs="DejaVuSans-Bold"/>
                <w:b/>
                <w:bCs/>
                <w:sz w:val="28"/>
                <w:szCs w:val="28"/>
              </w:rPr>
            </w:pPr>
            <w:r w:rsidRPr="00D02F72">
              <w:rPr>
                <w:rFonts w:ascii="Arial Narrow" w:hAnsi="Arial Narrow" w:cs="DejaVuSans-Bold"/>
                <w:b/>
                <w:bCs/>
                <w:sz w:val="28"/>
                <w:szCs w:val="28"/>
                <w:lang w:val="mk-MK"/>
              </w:rPr>
              <w:t>насади</w:t>
            </w:r>
          </w:p>
          <w:p w:rsidR="00D02F72" w:rsidRPr="00D02F72" w:rsidRDefault="00D02F72" w:rsidP="00D02F72">
            <w:pPr>
              <w:tabs>
                <w:tab w:val="left" w:pos="3675"/>
              </w:tabs>
              <w:jc w:val="center"/>
              <w:rPr>
                <w:rFonts w:ascii="Arial Narrow" w:hAnsi="Arial Narrow"/>
                <w:b/>
                <w:bCs/>
                <w:noProof/>
                <w:sz w:val="28"/>
                <w:szCs w:val="28"/>
              </w:rPr>
            </w:pPr>
            <w:r w:rsidRPr="00D02F72">
              <w:rPr>
                <w:rFonts w:ascii="Arial Narrow" w:hAnsi="Arial Narrow" w:cs="DejaVuSans-Bold"/>
                <w:b/>
                <w:bCs/>
                <w:sz w:val="28"/>
                <w:szCs w:val="28"/>
              </w:rPr>
              <w:t>ha</w:t>
            </w:r>
          </w:p>
        </w:tc>
        <w:tc>
          <w:tcPr>
            <w:tcW w:w="2464" w:type="dxa"/>
            <w:shd w:val="clear" w:color="auto" w:fill="D6E3BC" w:themeFill="accent3" w:themeFillTint="66"/>
          </w:tcPr>
          <w:p w:rsidR="00D02F72" w:rsidRPr="00D02F72" w:rsidRDefault="00D02F72" w:rsidP="00D02F72">
            <w:pPr>
              <w:tabs>
                <w:tab w:val="left" w:pos="3675"/>
              </w:tabs>
              <w:jc w:val="center"/>
              <w:rPr>
                <w:rFonts w:ascii="Arial Narrow" w:hAnsi="Arial Narrow" w:cs="DejaVuSans-Bold"/>
                <w:b/>
                <w:bCs/>
                <w:sz w:val="28"/>
                <w:szCs w:val="28"/>
              </w:rPr>
            </w:pPr>
            <w:r w:rsidRPr="00D02F72">
              <w:rPr>
                <w:rFonts w:ascii="Arial Narrow" w:hAnsi="Arial Narrow" w:cs="DejaVuSans-Bold"/>
                <w:b/>
                <w:bCs/>
                <w:sz w:val="28"/>
                <w:szCs w:val="28"/>
                <w:lang w:val="mk-MK"/>
              </w:rPr>
              <w:t>Мешани шуми</w:t>
            </w:r>
          </w:p>
          <w:p w:rsidR="00D02F72" w:rsidRPr="00D02F72" w:rsidRDefault="00D02F72" w:rsidP="00D02F72">
            <w:pPr>
              <w:tabs>
                <w:tab w:val="left" w:pos="3675"/>
              </w:tabs>
              <w:jc w:val="both"/>
              <w:rPr>
                <w:rFonts w:ascii="Arial Narrow" w:hAnsi="Arial Narrow" w:cs="DejaVuSans-Bold"/>
                <w:b/>
                <w:bCs/>
                <w:sz w:val="28"/>
                <w:szCs w:val="28"/>
              </w:rPr>
            </w:pPr>
          </w:p>
          <w:p w:rsidR="00D02F72" w:rsidRPr="00D02F72" w:rsidRDefault="00D02F72" w:rsidP="00D02F72">
            <w:pPr>
              <w:tabs>
                <w:tab w:val="left" w:pos="3675"/>
              </w:tabs>
              <w:jc w:val="center"/>
              <w:rPr>
                <w:rFonts w:ascii="Arial Narrow" w:hAnsi="Arial Narrow"/>
                <w:b/>
                <w:bCs/>
                <w:noProof/>
                <w:sz w:val="28"/>
                <w:szCs w:val="28"/>
              </w:rPr>
            </w:pPr>
            <w:r w:rsidRPr="00D02F72">
              <w:rPr>
                <w:rFonts w:ascii="Arial Narrow" w:hAnsi="Arial Narrow" w:cs="DejaVuSans-Bold"/>
                <w:b/>
                <w:bCs/>
                <w:sz w:val="28"/>
                <w:szCs w:val="28"/>
              </w:rPr>
              <w:t>ha</w:t>
            </w:r>
          </w:p>
        </w:tc>
      </w:tr>
      <w:tr w:rsidR="00D02F72" w:rsidRPr="00D02F72" w:rsidTr="00A07853">
        <w:tc>
          <w:tcPr>
            <w:tcW w:w="2463" w:type="dxa"/>
            <w:shd w:val="clear" w:color="auto" w:fill="76923C" w:themeFill="accent3" w:themeFillShade="BF"/>
          </w:tcPr>
          <w:p w:rsidR="00D02F72" w:rsidRPr="00D02F72" w:rsidRDefault="00D02F72" w:rsidP="00D02F72">
            <w:pPr>
              <w:tabs>
                <w:tab w:val="left" w:pos="3675"/>
              </w:tabs>
              <w:spacing w:before="120" w:after="120"/>
              <w:jc w:val="center"/>
              <w:rPr>
                <w:rFonts w:ascii="Arial Narrow" w:hAnsi="Arial Narrow"/>
                <w:b/>
                <w:bCs/>
                <w:noProof/>
                <w:sz w:val="28"/>
                <w:szCs w:val="28"/>
                <w:lang w:val="mk-MK"/>
              </w:rPr>
            </w:pPr>
            <w:r w:rsidRPr="00D02F72">
              <w:rPr>
                <w:rFonts w:ascii="Arial Narrow" w:hAnsi="Arial Narrow" w:cs="DejaVuSans"/>
                <w:sz w:val="28"/>
                <w:szCs w:val="28"/>
                <w:lang w:val="mk-MK"/>
              </w:rPr>
              <w:t>3572,9</w:t>
            </w:r>
          </w:p>
        </w:tc>
        <w:tc>
          <w:tcPr>
            <w:tcW w:w="2463" w:type="dxa"/>
            <w:shd w:val="clear" w:color="auto" w:fill="EAF1DD" w:themeFill="accent3" w:themeFillTint="33"/>
          </w:tcPr>
          <w:p w:rsidR="00D02F72" w:rsidRPr="00D02F72" w:rsidRDefault="00D02F72" w:rsidP="00D02F72">
            <w:pPr>
              <w:tabs>
                <w:tab w:val="left" w:pos="3675"/>
              </w:tabs>
              <w:spacing w:before="120" w:after="120"/>
              <w:jc w:val="center"/>
              <w:rPr>
                <w:rFonts w:ascii="Arial Narrow" w:hAnsi="Arial Narrow"/>
                <w:b/>
                <w:bCs/>
                <w:noProof/>
                <w:sz w:val="28"/>
                <w:szCs w:val="28"/>
                <w:lang w:val="mk-MK"/>
              </w:rPr>
            </w:pPr>
            <w:r w:rsidRPr="00D02F72">
              <w:rPr>
                <w:rFonts w:ascii="Arial Narrow" w:hAnsi="Arial Narrow" w:cs="DejaVuSans"/>
                <w:sz w:val="28"/>
                <w:szCs w:val="28"/>
                <w:lang w:val="mk-MK"/>
              </w:rPr>
              <w:t>1457,21</w:t>
            </w:r>
          </w:p>
        </w:tc>
        <w:tc>
          <w:tcPr>
            <w:tcW w:w="2464" w:type="dxa"/>
            <w:shd w:val="clear" w:color="auto" w:fill="EAF1DD" w:themeFill="accent3" w:themeFillTint="33"/>
          </w:tcPr>
          <w:p w:rsidR="00D02F72" w:rsidRPr="00D02F72" w:rsidRDefault="00D02F72" w:rsidP="00D02F72">
            <w:pPr>
              <w:tabs>
                <w:tab w:val="left" w:pos="3675"/>
              </w:tabs>
              <w:spacing w:before="120" w:after="120"/>
              <w:jc w:val="center"/>
              <w:rPr>
                <w:rFonts w:ascii="Arial Narrow" w:hAnsi="Arial Narrow"/>
                <w:b/>
                <w:bCs/>
                <w:noProof/>
                <w:sz w:val="28"/>
                <w:szCs w:val="28"/>
                <w:lang w:val="mk-MK"/>
              </w:rPr>
            </w:pPr>
            <w:r w:rsidRPr="00D02F72">
              <w:rPr>
                <w:rFonts w:ascii="Arial Narrow" w:hAnsi="Arial Narrow" w:cs="DejaVuSans"/>
                <w:sz w:val="28"/>
                <w:szCs w:val="28"/>
                <w:lang w:val="mk-MK"/>
              </w:rPr>
              <w:t>786,45</w:t>
            </w:r>
          </w:p>
        </w:tc>
        <w:tc>
          <w:tcPr>
            <w:tcW w:w="2464" w:type="dxa"/>
            <w:shd w:val="clear" w:color="auto" w:fill="EAF1DD" w:themeFill="accent3" w:themeFillTint="33"/>
          </w:tcPr>
          <w:p w:rsidR="00D02F72" w:rsidRPr="00D02F72" w:rsidRDefault="00D02F72" w:rsidP="00D02F72">
            <w:pPr>
              <w:tabs>
                <w:tab w:val="left" w:pos="3675"/>
              </w:tabs>
              <w:spacing w:before="120" w:after="120"/>
              <w:jc w:val="center"/>
              <w:rPr>
                <w:rFonts w:ascii="Arial Narrow" w:hAnsi="Arial Narrow"/>
                <w:b/>
                <w:bCs/>
                <w:noProof/>
                <w:sz w:val="28"/>
                <w:szCs w:val="28"/>
                <w:lang w:val="mk-MK"/>
              </w:rPr>
            </w:pPr>
            <w:r w:rsidRPr="00D02F72">
              <w:rPr>
                <w:rFonts w:ascii="Arial Narrow" w:hAnsi="Arial Narrow" w:cs="DejaVuSans"/>
                <w:sz w:val="28"/>
                <w:szCs w:val="28"/>
                <w:lang w:val="mk-MK"/>
              </w:rPr>
              <w:t>1329,24</w:t>
            </w:r>
          </w:p>
        </w:tc>
      </w:tr>
      <w:tr w:rsidR="00D02F72" w:rsidRPr="00D02F72" w:rsidTr="00A07853">
        <w:tc>
          <w:tcPr>
            <w:tcW w:w="2463" w:type="dxa"/>
            <w:shd w:val="clear" w:color="auto" w:fill="76923C" w:themeFill="accent3" w:themeFillShade="BF"/>
          </w:tcPr>
          <w:p w:rsidR="00D02F72" w:rsidRPr="00D02F72" w:rsidRDefault="00D02F72" w:rsidP="00D02F72">
            <w:pPr>
              <w:autoSpaceDE w:val="0"/>
              <w:autoSpaceDN w:val="0"/>
              <w:adjustRightInd w:val="0"/>
              <w:spacing w:before="120" w:after="120"/>
              <w:jc w:val="center"/>
              <w:rPr>
                <w:rFonts w:ascii="Arial Narrow" w:hAnsi="Arial Narrow" w:cs="DejaVuSans"/>
                <w:sz w:val="28"/>
                <w:szCs w:val="28"/>
                <w:lang w:val="mk-MK"/>
              </w:rPr>
            </w:pPr>
            <w:r w:rsidRPr="00D02F72">
              <w:rPr>
                <w:rFonts w:ascii="Arial Narrow" w:hAnsi="Arial Narrow" w:cs="DejaVuSans"/>
                <w:sz w:val="28"/>
                <w:szCs w:val="28"/>
                <w:lang w:val="mk-MK"/>
              </w:rPr>
              <w:t>100,00 %</w:t>
            </w:r>
          </w:p>
        </w:tc>
        <w:tc>
          <w:tcPr>
            <w:tcW w:w="2463" w:type="dxa"/>
            <w:shd w:val="clear" w:color="auto" w:fill="EAF1DD" w:themeFill="accent3" w:themeFillTint="33"/>
          </w:tcPr>
          <w:p w:rsidR="00D02F72" w:rsidRPr="00D02F72" w:rsidRDefault="00D02F72" w:rsidP="00D02F72">
            <w:pPr>
              <w:tabs>
                <w:tab w:val="left" w:pos="3675"/>
              </w:tabs>
              <w:spacing w:before="120" w:after="120"/>
              <w:jc w:val="center"/>
              <w:rPr>
                <w:rFonts w:ascii="Arial Narrow" w:hAnsi="Arial Narrow"/>
                <w:b/>
                <w:bCs/>
                <w:noProof/>
                <w:sz w:val="28"/>
                <w:szCs w:val="28"/>
                <w:lang w:val="mk-MK"/>
              </w:rPr>
            </w:pPr>
            <w:r w:rsidRPr="00D02F72">
              <w:rPr>
                <w:rFonts w:ascii="Arial Narrow" w:hAnsi="Arial Narrow" w:cs="DejaVuSans"/>
                <w:sz w:val="28"/>
                <w:szCs w:val="28"/>
                <w:lang w:val="mk-MK"/>
              </w:rPr>
              <w:t>40,79 %</w:t>
            </w:r>
          </w:p>
        </w:tc>
        <w:tc>
          <w:tcPr>
            <w:tcW w:w="2464" w:type="dxa"/>
            <w:shd w:val="clear" w:color="auto" w:fill="EAF1DD" w:themeFill="accent3" w:themeFillTint="33"/>
          </w:tcPr>
          <w:p w:rsidR="00D02F72" w:rsidRPr="00D02F72" w:rsidRDefault="00D02F72" w:rsidP="00D02F72">
            <w:pPr>
              <w:tabs>
                <w:tab w:val="left" w:pos="3675"/>
              </w:tabs>
              <w:spacing w:before="120" w:after="120"/>
              <w:jc w:val="center"/>
              <w:rPr>
                <w:rFonts w:ascii="Arial Narrow" w:hAnsi="Arial Narrow"/>
                <w:b/>
                <w:bCs/>
                <w:noProof/>
                <w:sz w:val="28"/>
                <w:szCs w:val="28"/>
                <w:lang w:val="mk-MK"/>
              </w:rPr>
            </w:pPr>
            <w:r w:rsidRPr="00D02F72">
              <w:rPr>
                <w:rFonts w:ascii="Arial Narrow" w:hAnsi="Arial Narrow" w:cs="DejaVuSans"/>
                <w:sz w:val="28"/>
                <w:szCs w:val="28"/>
                <w:lang w:val="mk-MK"/>
              </w:rPr>
              <w:t>22,01 %</w:t>
            </w:r>
          </w:p>
        </w:tc>
        <w:tc>
          <w:tcPr>
            <w:tcW w:w="2464" w:type="dxa"/>
            <w:shd w:val="clear" w:color="auto" w:fill="EAF1DD" w:themeFill="accent3" w:themeFillTint="33"/>
          </w:tcPr>
          <w:p w:rsidR="00D02F72" w:rsidRPr="00D02F72" w:rsidRDefault="00D02F72" w:rsidP="00D02F72">
            <w:pPr>
              <w:tabs>
                <w:tab w:val="left" w:pos="3675"/>
              </w:tabs>
              <w:spacing w:before="120" w:after="120"/>
              <w:jc w:val="center"/>
              <w:rPr>
                <w:rFonts w:ascii="Arial Narrow" w:hAnsi="Arial Narrow"/>
                <w:b/>
                <w:bCs/>
                <w:noProof/>
                <w:sz w:val="28"/>
                <w:szCs w:val="28"/>
                <w:lang w:val="mk-MK"/>
              </w:rPr>
            </w:pPr>
            <w:r w:rsidRPr="00D02F72">
              <w:rPr>
                <w:rFonts w:ascii="Arial Narrow" w:hAnsi="Arial Narrow" w:cs="DejaVuSans"/>
                <w:sz w:val="28"/>
                <w:szCs w:val="28"/>
                <w:lang w:val="mk-MK"/>
              </w:rPr>
              <w:t>37,20 %</w:t>
            </w:r>
          </w:p>
        </w:tc>
      </w:tr>
    </w:tbl>
    <w:p w:rsidR="00D02F72" w:rsidRPr="00D02F72" w:rsidRDefault="00D02F72" w:rsidP="00D02F72">
      <w:pPr>
        <w:spacing w:line="300" w:lineRule="exact"/>
        <w:jc w:val="both"/>
        <w:rPr>
          <w:rFonts w:ascii="Arial" w:eastAsia="Calibri" w:hAnsi="Arial" w:cs="Arial"/>
          <w:lang w:val="mk-MK"/>
        </w:rPr>
      </w:pPr>
    </w:p>
    <w:p w:rsidR="00D02F72" w:rsidRPr="00D02F72" w:rsidRDefault="00D02F72" w:rsidP="00D02F72">
      <w:pPr>
        <w:spacing w:line="300" w:lineRule="exact"/>
        <w:jc w:val="both"/>
        <w:rPr>
          <w:rFonts w:ascii="Arial Narrow" w:eastAsia="Calibri" w:hAnsi="Arial Narrow" w:cs="Arial"/>
          <w:sz w:val="28"/>
          <w:szCs w:val="28"/>
          <w:lang w:val="mk-MK"/>
        </w:rPr>
      </w:pPr>
      <w:r w:rsidRPr="00D02F72">
        <w:rPr>
          <w:rFonts w:ascii="Arial Narrow" w:eastAsia="Calibri" w:hAnsi="Arial Narrow" w:cs="Arial"/>
          <w:sz w:val="28"/>
          <w:szCs w:val="28"/>
          <w:lang w:val="mk-MK"/>
        </w:rPr>
        <w:t>Вредностите за годишната стапка на пораст на шумите и факторите на апсорпција се земени од Ревидираните прирачници на ИПЦЦ за подготовка на инвентари. Апсорпцијата на јаглероден диоксид од шумите во општина Богданци изнесува 15473,33 тони CO2.</w:t>
      </w:r>
    </w:p>
    <w:p w:rsidR="00D02F72" w:rsidRPr="00D02F72" w:rsidRDefault="00D02F72" w:rsidP="00D02F72">
      <w:pPr>
        <w:keepNext/>
        <w:numPr>
          <w:ilvl w:val="2"/>
          <w:numId w:val="0"/>
        </w:numPr>
        <w:tabs>
          <w:tab w:val="left" w:pos="1134"/>
        </w:tabs>
        <w:spacing w:before="400" w:line="300" w:lineRule="exact"/>
        <w:ind w:left="1134" w:hanging="1134"/>
        <w:outlineLvl w:val="2"/>
        <w:rPr>
          <w:rFonts w:ascii="Arial Black" w:hAnsi="Arial Black" w:cs="Times New Roman"/>
          <w:b/>
          <w:bCs/>
          <w:color w:val="4F6228"/>
          <w:lang w:val="mk-MK" w:eastAsia="en-GB"/>
        </w:rPr>
      </w:pPr>
      <w:bookmarkStart w:id="31" w:name="_Toc382344119"/>
      <w:r w:rsidRPr="00D02F72">
        <w:rPr>
          <w:rFonts w:ascii="Arial Black" w:hAnsi="Arial Black" w:cs="Times New Roman"/>
          <w:b/>
          <w:bCs/>
          <w:color w:val="4F6228"/>
          <w:lang w:val="mk-MK" w:eastAsia="en-GB"/>
        </w:rPr>
        <w:t>Отпад</w:t>
      </w:r>
      <w:bookmarkEnd w:id="31"/>
    </w:p>
    <w:p w:rsidR="00D02F72" w:rsidRPr="00D02F72" w:rsidRDefault="00D02F72" w:rsidP="00D02F72">
      <w:pPr>
        <w:keepNext/>
        <w:numPr>
          <w:ilvl w:val="3"/>
          <w:numId w:val="0"/>
        </w:numPr>
        <w:spacing w:before="200" w:line="300" w:lineRule="exact"/>
        <w:ind w:left="1134" w:hanging="1134"/>
        <w:outlineLvl w:val="3"/>
        <w:rPr>
          <w:rFonts w:ascii="Arial" w:hAnsi="Arial" w:cs="Arial"/>
          <w:bCs/>
          <w:color w:val="4F6228"/>
          <w:lang w:val="mk-MK"/>
          <w14:textFill>
            <w14:solidFill>
              <w14:srgbClr w14:val="4F6228">
                <w14:lumMod w14:val="50000"/>
              </w14:srgbClr>
            </w14:solidFill>
          </w14:textFill>
        </w:rPr>
      </w:pPr>
      <w:r w:rsidRPr="00D02F72">
        <w:rPr>
          <w:rFonts w:ascii="Arial" w:hAnsi="Arial" w:cs="Arial"/>
          <w:bCs/>
          <w:color w:val="4F6228"/>
          <w:lang w:val="mk-MK"/>
          <w14:textFill>
            <w14:solidFill>
              <w14:srgbClr w14:val="4F6228">
                <w14:lumMod w14:val="50000"/>
              </w14:srgbClr>
            </w14:solidFill>
          </w14:textFill>
        </w:rPr>
        <w:t>Емисии на метан од депонии за цврст отпад</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Во Република Македонија е многу тешко да се најдат историски податоци за количината на цврстиот отпад на локално ниво. При недостаток на ваквите податоци за да се пресметаат емисиите од отпадот генериран во општината потребно е да се користат индикатори (популација, економски развој итн.). Најважен податок за оваа пресметка е бројот на населиение во општина Богданци. Податоците беа обезбедени од Заводот за Статистика на Република Македонија и се прикажани во Табела 36.</w:t>
      </w:r>
    </w:p>
    <w:p w:rsidR="00D02F72" w:rsidRPr="00D02F72" w:rsidRDefault="00D02F72" w:rsidP="00D02F72">
      <w:pPr>
        <w:keepNext/>
        <w:tabs>
          <w:tab w:val="left" w:pos="1701"/>
        </w:tabs>
        <w:spacing w:before="120" w:after="120" w:line="240" w:lineRule="auto"/>
        <w:ind w:left="1701" w:right="567" w:hanging="1134"/>
        <w:rPr>
          <w:rFonts w:ascii="StobiSerifIt Regular" w:hAnsi="StobiSerifIt Regular"/>
          <w:i/>
          <w:color w:val="4F6228" w:themeColor="accent3" w:themeShade="80"/>
          <w:sz w:val="28"/>
          <w:szCs w:val="28"/>
          <w:lang w:val="mk-MK" w:eastAsia="en-GB"/>
        </w:rPr>
      </w:pPr>
      <w:r w:rsidRPr="00D02F72">
        <w:rPr>
          <w:rFonts w:ascii="StobiSerifIt Regular" w:hAnsi="StobiSerifIt Regular"/>
          <w:i/>
          <w:color w:val="4F6228" w:themeColor="accent3" w:themeShade="80"/>
          <w:lang w:val="mk-MK" w:eastAsia="en-GB"/>
        </w:rPr>
        <w:t>Население во Општина Богданци Извор: Завод за статистика на Република Македонија</w:t>
      </w:r>
    </w:p>
    <w:tbl>
      <w:tblPr>
        <w:tblStyle w:val="TableGrid"/>
        <w:tblW w:w="0" w:type="auto"/>
        <w:tblLook w:val="04A0" w:firstRow="1" w:lastRow="0" w:firstColumn="1" w:lastColumn="0" w:noHBand="0" w:noVBand="1"/>
      </w:tblPr>
      <w:tblGrid>
        <w:gridCol w:w="1632"/>
        <w:gridCol w:w="993"/>
        <w:gridCol w:w="993"/>
        <w:gridCol w:w="993"/>
        <w:gridCol w:w="993"/>
        <w:gridCol w:w="993"/>
        <w:gridCol w:w="993"/>
        <w:gridCol w:w="993"/>
        <w:gridCol w:w="993"/>
      </w:tblGrid>
      <w:tr w:rsidR="00D02F72" w:rsidRPr="00D02F72" w:rsidTr="00A07853">
        <w:tc>
          <w:tcPr>
            <w:tcW w:w="1094" w:type="dxa"/>
            <w:shd w:val="clear" w:color="auto" w:fill="D6E3BC" w:themeFill="accent3" w:themeFillTint="66"/>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p>
        </w:tc>
        <w:tc>
          <w:tcPr>
            <w:tcW w:w="1095"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Попис</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lastRenderedPageBreak/>
              <w:t>1948</w:t>
            </w:r>
          </w:p>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Bold"/>
                <w:b/>
                <w:bCs/>
                <w:sz w:val="28"/>
                <w:szCs w:val="28"/>
                <w:lang w:val="mk-MK"/>
              </w:rPr>
              <w:t>(57)</w:t>
            </w:r>
          </w:p>
        </w:tc>
        <w:tc>
          <w:tcPr>
            <w:tcW w:w="1095"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lastRenderedPageBreak/>
              <w:t>Попис</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lastRenderedPageBreak/>
              <w:t>1953</w:t>
            </w:r>
          </w:p>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Bold"/>
                <w:b/>
                <w:bCs/>
                <w:sz w:val="28"/>
                <w:szCs w:val="28"/>
                <w:lang w:val="mk-MK"/>
              </w:rPr>
              <w:t>(58)</w:t>
            </w:r>
          </w:p>
        </w:tc>
        <w:tc>
          <w:tcPr>
            <w:tcW w:w="1095"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lastRenderedPageBreak/>
              <w:t>Попис</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lastRenderedPageBreak/>
              <w:t>1961</w:t>
            </w:r>
          </w:p>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Bold"/>
                <w:b/>
                <w:bCs/>
                <w:sz w:val="28"/>
                <w:szCs w:val="28"/>
                <w:lang w:val="mk-MK"/>
              </w:rPr>
              <w:t>(59)</w:t>
            </w:r>
          </w:p>
        </w:tc>
        <w:tc>
          <w:tcPr>
            <w:tcW w:w="1095"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lastRenderedPageBreak/>
              <w:t>Попис</w:t>
            </w:r>
          </w:p>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Bold"/>
                <w:b/>
                <w:bCs/>
                <w:sz w:val="28"/>
                <w:szCs w:val="28"/>
                <w:lang w:val="mk-MK"/>
              </w:rPr>
              <w:lastRenderedPageBreak/>
              <w:t>1971</w:t>
            </w:r>
          </w:p>
        </w:tc>
        <w:tc>
          <w:tcPr>
            <w:tcW w:w="1095"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lastRenderedPageBreak/>
              <w:t>Попис</w:t>
            </w:r>
          </w:p>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Bold"/>
                <w:b/>
                <w:bCs/>
                <w:sz w:val="28"/>
                <w:szCs w:val="28"/>
                <w:lang w:val="mk-MK"/>
              </w:rPr>
              <w:lastRenderedPageBreak/>
              <w:t>1981</w:t>
            </w:r>
          </w:p>
        </w:tc>
        <w:tc>
          <w:tcPr>
            <w:tcW w:w="1095"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lastRenderedPageBreak/>
              <w:t>Попис</w:t>
            </w:r>
          </w:p>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Bold"/>
                <w:b/>
                <w:bCs/>
                <w:sz w:val="28"/>
                <w:szCs w:val="28"/>
                <w:lang w:val="mk-MK"/>
              </w:rPr>
              <w:lastRenderedPageBreak/>
              <w:t>1991</w:t>
            </w:r>
          </w:p>
        </w:tc>
        <w:tc>
          <w:tcPr>
            <w:tcW w:w="1095"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lastRenderedPageBreak/>
              <w:t>Попис</w:t>
            </w:r>
          </w:p>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Bold"/>
                <w:b/>
                <w:bCs/>
                <w:sz w:val="28"/>
                <w:szCs w:val="28"/>
                <w:lang w:val="mk-MK"/>
              </w:rPr>
              <w:lastRenderedPageBreak/>
              <w:t>1994</w:t>
            </w:r>
          </w:p>
        </w:tc>
        <w:tc>
          <w:tcPr>
            <w:tcW w:w="1095"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lastRenderedPageBreak/>
              <w:t>Попис</w:t>
            </w:r>
          </w:p>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Bold"/>
                <w:b/>
                <w:bCs/>
                <w:sz w:val="28"/>
                <w:szCs w:val="28"/>
                <w:lang w:val="mk-MK"/>
              </w:rPr>
              <w:lastRenderedPageBreak/>
              <w:t>2002</w:t>
            </w:r>
          </w:p>
        </w:tc>
      </w:tr>
      <w:tr w:rsidR="00D02F72" w:rsidRPr="00D02F72" w:rsidTr="00A07853">
        <w:tc>
          <w:tcPr>
            <w:tcW w:w="1094" w:type="dxa"/>
            <w:shd w:val="clear" w:color="auto" w:fill="EAF1DD" w:themeFill="accent3" w:themeFillTint="33"/>
          </w:tcPr>
          <w:p w:rsidR="00D02F72" w:rsidRPr="00D02F72" w:rsidRDefault="00D02F72" w:rsidP="00D02F72">
            <w:pPr>
              <w:autoSpaceDE w:val="0"/>
              <w:autoSpaceDN w:val="0"/>
              <w:adjustRightInd w:val="0"/>
              <w:spacing w:after="120"/>
              <w:rPr>
                <w:rFonts w:ascii="Arial Narrow" w:hAnsi="Arial Narrow" w:cs="DejaVuSans"/>
                <w:sz w:val="28"/>
                <w:szCs w:val="28"/>
                <w:lang w:val="mk-MK"/>
              </w:rPr>
            </w:pPr>
            <w:r w:rsidRPr="00D02F72">
              <w:rPr>
                <w:rFonts w:ascii="Arial Narrow" w:hAnsi="Arial Narrow" w:cs="DejaVuSans-Bold"/>
                <w:b/>
                <w:bCs/>
                <w:sz w:val="28"/>
                <w:szCs w:val="28"/>
                <w:lang w:val="mk-MK"/>
              </w:rPr>
              <w:lastRenderedPageBreak/>
              <w:t>Вкупно</w:t>
            </w:r>
          </w:p>
        </w:tc>
        <w:tc>
          <w:tcPr>
            <w:tcW w:w="1095" w:type="dxa"/>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p>
        </w:tc>
        <w:tc>
          <w:tcPr>
            <w:tcW w:w="1095" w:type="dxa"/>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p>
        </w:tc>
        <w:tc>
          <w:tcPr>
            <w:tcW w:w="1095" w:type="dxa"/>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p>
        </w:tc>
        <w:tc>
          <w:tcPr>
            <w:tcW w:w="1095" w:type="dxa"/>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p>
        </w:tc>
        <w:tc>
          <w:tcPr>
            <w:tcW w:w="1095" w:type="dxa"/>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p>
        </w:tc>
        <w:tc>
          <w:tcPr>
            <w:tcW w:w="1095" w:type="dxa"/>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p>
        </w:tc>
        <w:tc>
          <w:tcPr>
            <w:tcW w:w="1095" w:type="dxa"/>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p>
        </w:tc>
        <w:tc>
          <w:tcPr>
            <w:tcW w:w="1095" w:type="dxa"/>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p>
        </w:tc>
      </w:tr>
      <w:tr w:rsidR="00D02F72" w:rsidRPr="00D02F72" w:rsidTr="00A07853">
        <w:tc>
          <w:tcPr>
            <w:tcW w:w="1094" w:type="dxa"/>
            <w:shd w:val="clear" w:color="auto" w:fill="EAF1DD" w:themeFill="accent3" w:themeFillTint="33"/>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БОГДАНЦИ</w:t>
            </w:r>
          </w:p>
          <w:p w:rsidR="00D02F72" w:rsidRPr="00D02F72" w:rsidRDefault="00D02F72" w:rsidP="00D02F72">
            <w:pPr>
              <w:autoSpaceDE w:val="0"/>
              <w:autoSpaceDN w:val="0"/>
              <w:adjustRightInd w:val="0"/>
              <w:spacing w:after="120"/>
              <w:rPr>
                <w:rFonts w:ascii="Arial Narrow" w:hAnsi="Arial Narrow" w:cs="DejaVuSans"/>
                <w:sz w:val="28"/>
                <w:szCs w:val="28"/>
                <w:lang w:val="mk-MK"/>
              </w:rPr>
            </w:pPr>
            <w:r w:rsidRPr="00D02F72">
              <w:rPr>
                <w:rFonts w:ascii="Arial Narrow" w:hAnsi="Arial Narrow" w:cs="DejaVuSans"/>
                <w:sz w:val="28"/>
                <w:szCs w:val="28"/>
                <w:lang w:val="mk-MK"/>
              </w:rPr>
              <w:t>(БОГДАНЦИ)</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3027</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2951</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3290</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4152</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5361</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5911</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6031</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6011</w:t>
            </w:r>
          </w:p>
        </w:tc>
      </w:tr>
      <w:tr w:rsidR="00D02F72" w:rsidRPr="00D02F72" w:rsidTr="00A07853">
        <w:tc>
          <w:tcPr>
            <w:tcW w:w="1094" w:type="dxa"/>
            <w:shd w:val="clear" w:color="auto" w:fill="EAF1DD" w:themeFill="accent3" w:themeFillTint="33"/>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ЃАВАТО</w:t>
            </w:r>
          </w:p>
          <w:p w:rsidR="00D02F72" w:rsidRPr="00D02F72" w:rsidRDefault="00D02F72" w:rsidP="00D02F72">
            <w:pPr>
              <w:autoSpaceDE w:val="0"/>
              <w:autoSpaceDN w:val="0"/>
              <w:adjustRightInd w:val="0"/>
              <w:spacing w:after="120"/>
              <w:rPr>
                <w:rFonts w:ascii="Arial Narrow" w:hAnsi="Arial Narrow" w:cs="DejaVuSans"/>
                <w:sz w:val="28"/>
                <w:szCs w:val="28"/>
                <w:lang w:val="mk-MK"/>
              </w:rPr>
            </w:pPr>
            <w:r w:rsidRPr="00D02F72">
              <w:rPr>
                <w:rFonts w:ascii="Arial Narrow" w:hAnsi="Arial Narrow" w:cs="DejaVuSans"/>
                <w:sz w:val="28"/>
                <w:szCs w:val="28"/>
                <w:lang w:val="mk-MK"/>
              </w:rPr>
              <w:t>(БОГДАНЦИ)</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528</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532</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554</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512</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509</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508</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485</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438</w:t>
            </w:r>
          </w:p>
        </w:tc>
      </w:tr>
      <w:tr w:rsidR="00D02F72" w:rsidRPr="00D02F72" w:rsidTr="00A07853">
        <w:tc>
          <w:tcPr>
            <w:tcW w:w="1094" w:type="dxa"/>
            <w:shd w:val="clear" w:color="auto" w:fill="EAF1DD" w:themeFill="accent3" w:themeFillTint="33"/>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СЕЛЕМЛИ</w:t>
            </w:r>
          </w:p>
          <w:p w:rsidR="00D02F72" w:rsidRPr="00D02F72" w:rsidRDefault="00D02F72" w:rsidP="00D02F72">
            <w:pPr>
              <w:autoSpaceDE w:val="0"/>
              <w:autoSpaceDN w:val="0"/>
              <w:adjustRightInd w:val="0"/>
              <w:spacing w:after="120"/>
              <w:rPr>
                <w:rFonts w:ascii="Arial Narrow" w:hAnsi="Arial Narrow" w:cs="DejaVuSans"/>
                <w:sz w:val="28"/>
                <w:szCs w:val="28"/>
                <w:lang w:val="mk-MK"/>
              </w:rPr>
            </w:pPr>
            <w:r w:rsidRPr="00D02F72">
              <w:rPr>
                <w:rFonts w:ascii="Arial Narrow" w:hAnsi="Arial Narrow" w:cs="DejaVuSans"/>
                <w:sz w:val="28"/>
                <w:szCs w:val="28"/>
                <w:lang w:val="mk-MK"/>
              </w:rPr>
              <w:t>(БОГДАНЦИ)</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207</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161</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287</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303</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321</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336</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342</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327</w:t>
            </w:r>
          </w:p>
        </w:tc>
      </w:tr>
      <w:tr w:rsidR="00D02F72" w:rsidRPr="00D02F72" w:rsidTr="00A07853">
        <w:tc>
          <w:tcPr>
            <w:tcW w:w="1094" w:type="dxa"/>
            <w:shd w:val="clear" w:color="auto" w:fill="EAF1DD" w:themeFill="accent3" w:themeFillTint="33"/>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СТОЈАКОВО</w:t>
            </w:r>
          </w:p>
          <w:p w:rsidR="00D02F72" w:rsidRPr="00D02F72" w:rsidRDefault="00D02F72" w:rsidP="00D02F72">
            <w:pPr>
              <w:autoSpaceDE w:val="0"/>
              <w:autoSpaceDN w:val="0"/>
              <w:adjustRightInd w:val="0"/>
              <w:spacing w:after="120"/>
              <w:rPr>
                <w:rFonts w:ascii="Arial Narrow" w:hAnsi="Arial Narrow" w:cs="DejaVuSans"/>
                <w:sz w:val="28"/>
                <w:szCs w:val="28"/>
                <w:lang w:val="mk-MK"/>
              </w:rPr>
            </w:pPr>
            <w:r w:rsidRPr="00D02F72">
              <w:rPr>
                <w:rFonts w:ascii="Arial Narrow" w:hAnsi="Arial Narrow" w:cs="DejaVuSans"/>
                <w:sz w:val="28"/>
                <w:szCs w:val="28"/>
                <w:lang w:val="mk-MK"/>
              </w:rPr>
              <w:t>(БОГДАНЦИ)</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1566</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1646</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1933</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2063</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2125</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2048</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2041</w:t>
            </w:r>
          </w:p>
        </w:tc>
        <w:tc>
          <w:tcPr>
            <w:tcW w:w="1095" w:type="dxa"/>
          </w:tcPr>
          <w:p w:rsidR="00D02F72" w:rsidRPr="00D02F72" w:rsidRDefault="00D02F72" w:rsidP="00D02F72">
            <w:pPr>
              <w:autoSpaceDE w:val="0"/>
              <w:autoSpaceDN w:val="0"/>
              <w:adjustRightInd w:val="0"/>
              <w:spacing w:before="160"/>
              <w:jc w:val="center"/>
              <w:rPr>
                <w:rFonts w:ascii="Arial Narrow" w:hAnsi="Arial Narrow" w:cs="DejaVuSans"/>
                <w:sz w:val="28"/>
                <w:szCs w:val="28"/>
                <w:lang w:val="mk-MK"/>
              </w:rPr>
            </w:pPr>
            <w:r w:rsidRPr="00D02F72">
              <w:rPr>
                <w:rFonts w:ascii="Arial Narrow" w:hAnsi="Arial Narrow" w:cs="DejaVuSans"/>
                <w:sz w:val="28"/>
                <w:szCs w:val="28"/>
                <w:lang w:val="mk-MK"/>
              </w:rPr>
              <w:t>1931</w:t>
            </w:r>
          </w:p>
        </w:tc>
      </w:tr>
    </w:tbl>
    <w:p w:rsidR="00D02F72" w:rsidRPr="00D02F72" w:rsidRDefault="00D02F72" w:rsidP="00D02F72">
      <w:pPr>
        <w:spacing w:line="300" w:lineRule="exact"/>
        <w:jc w:val="both"/>
        <w:rPr>
          <w:rFonts w:ascii="Arial" w:eastAsia="Calibri" w:hAnsi="Arial" w:cs="Arial"/>
          <w:lang w:val="mk-MK"/>
        </w:rPr>
      </w:pPr>
    </w:p>
    <w:p w:rsidR="00D02F72" w:rsidRPr="00D02F72" w:rsidRDefault="00D02F72" w:rsidP="00D02F72">
      <w:pPr>
        <w:spacing w:line="300" w:lineRule="exact"/>
        <w:jc w:val="both"/>
        <w:rPr>
          <w:rFonts w:ascii="Arial" w:eastAsia="Calibri" w:hAnsi="Arial" w:cs="Arial"/>
          <w:lang w:val="mk-MK"/>
        </w:rPr>
      </w:pPr>
      <w:r w:rsidRPr="00D02F72">
        <w:rPr>
          <w:rFonts w:ascii="Arial" w:eastAsia="Calibri" w:hAnsi="Arial" w:cs="Arial"/>
          <w:lang w:val="mk-MK"/>
        </w:rPr>
        <w:t>Вредностите на корективниот фактор за пресметка на емисиите на метан е земен од Ревидираните прирачници на ИПЦЦ за подготовка на инвентари и е во согласност со методологијата која се користи за пресметка на националните емисии на стакленички гасови.</w:t>
      </w:r>
    </w:p>
    <w:p w:rsidR="00D02F72" w:rsidRPr="00D02F72" w:rsidRDefault="00D02F72" w:rsidP="00D02F72">
      <w:pPr>
        <w:keepNext/>
        <w:tabs>
          <w:tab w:val="left" w:pos="1701"/>
        </w:tabs>
        <w:spacing w:before="120" w:after="120" w:line="240" w:lineRule="auto"/>
        <w:ind w:left="1701" w:right="567" w:hanging="1134"/>
        <w:rPr>
          <w:rFonts w:ascii="StobiSerifIt Regular" w:hAnsi="StobiSerifIt Regular"/>
          <w:i/>
          <w:color w:val="4F6228" w:themeColor="accent3" w:themeShade="80"/>
          <w:sz w:val="28"/>
          <w:szCs w:val="28"/>
          <w:lang w:val="mk-MK" w:eastAsia="en-GB"/>
        </w:rPr>
      </w:pPr>
      <w:r w:rsidRPr="00D02F72">
        <w:rPr>
          <w:rFonts w:ascii="StobiSerifIt Regular" w:hAnsi="StobiSerifIt Regular"/>
          <w:i/>
          <w:color w:val="4F6228" w:themeColor="accent3" w:themeShade="80"/>
          <w:lang w:val="mk-MK" w:eastAsia="en-GB"/>
        </w:rPr>
        <w:t>Вредности на корективниот фактор за пресметка на емисиите на метан</w:t>
      </w:r>
    </w:p>
    <w:tbl>
      <w:tblPr>
        <w:tblStyle w:val="TableGrid"/>
        <w:tblW w:w="0" w:type="auto"/>
        <w:tblLook w:val="04A0" w:firstRow="1" w:lastRow="0" w:firstColumn="1" w:lastColumn="0" w:noHBand="0" w:noVBand="1"/>
      </w:tblPr>
      <w:tblGrid>
        <w:gridCol w:w="2425"/>
        <w:gridCol w:w="2379"/>
        <w:gridCol w:w="2386"/>
        <w:gridCol w:w="2386"/>
      </w:tblGrid>
      <w:tr w:rsidR="00D02F72" w:rsidRPr="00D02F72" w:rsidTr="00A07853">
        <w:tc>
          <w:tcPr>
            <w:tcW w:w="2463" w:type="dxa"/>
            <w:shd w:val="clear" w:color="auto" w:fill="D6E3BC" w:themeFill="accent3" w:themeFillTint="66"/>
          </w:tcPr>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Bold"/>
                <w:b/>
                <w:bCs/>
                <w:sz w:val="28"/>
                <w:szCs w:val="28"/>
                <w:lang w:val="mk-MK"/>
              </w:rPr>
              <w:t>Тип на депонија</w:t>
            </w:r>
          </w:p>
        </w:tc>
        <w:tc>
          <w:tcPr>
            <w:tcW w:w="2463"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Сооднос на отпад (по тежина) во депонија</w:t>
            </w:r>
          </w:p>
        </w:tc>
        <w:tc>
          <w:tcPr>
            <w:tcW w:w="2464"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Фактор на корекција за метан</w:t>
            </w:r>
          </w:p>
        </w:tc>
        <w:tc>
          <w:tcPr>
            <w:tcW w:w="2464"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Измерен просечен фактор на корекција за секој вид на депонија</w:t>
            </w:r>
          </w:p>
        </w:tc>
      </w:tr>
      <w:tr w:rsidR="00D02F72" w:rsidRPr="00D02F72" w:rsidTr="00A07853">
        <w:tc>
          <w:tcPr>
            <w:tcW w:w="2463" w:type="dxa"/>
            <w:shd w:val="clear" w:color="auto" w:fill="EAF1DD" w:themeFill="accent3" w:themeFillTint="33"/>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BoldOblique"/>
                <w:b/>
                <w:bCs/>
                <w:iCs/>
                <w:sz w:val="28"/>
                <w:szCs w:val="28"/>
                <w:lang w:val="mk-MK"/>
              </w:rPr>
              <w:t>Менаџиран</w:t>
            </w:r>
          </w:p>
        </w:tc>
        <w:tc>
          <w:tcPr>
            <w:tcW w:w="2463"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0,283</w:t>
            </w:r>
          </w:p>
        </w:tc>
        <w:tc>
          <w:tcPr>
            <w:tcW w:w="2464"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w:t>
            </w:r>
          </w:p>
        </w:tc>
        <w:tc>
          <w:tcPr>
            <w:tcW w:w="2464"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0,28</w:t>
            </w:r>
          </w:p>
        </w:tc>
      </w:tr>
      <w:tr w:rsidR="00D02F72" w:rsidRPr="00D02F72" w:rsidTr="00A07853">
        <w:tc>
          <w:tcPr>
            <w:tcW w:w="2463" w:type="dxa"/>
            <w:shd w:val="clear" w:color="auto" w:fill="EAF1DD" w:themeFill="accent3" w:themeFillTint="33"/>
          </w:tcPr>
          <w:p w:rsidR="00D02F72" w:rsidRPr="00D02F72" w:rsidRDefault="00D02F72" w:rsidP="00D02F72">
            <w:pPr>
              <w:autoSpaceDE w:val="0"/>
              <w:autoSpaceDN w:val="0"/>
              <w:adjustRightInd w:val="0"/>
              <w:rPr>
                <w:rFonts w:ascii="Arial Narrow" w:hAnsi="Arial Narrow" w:cs="DejaVuSans-BoldOblique"/>
                <w:b/>
                <w:bCs/>
                <w:iCs/>
                <w:sz w:val="28"/>
                <w:szCs w:val="28"/>
                <w:lang w:val="mk-MK"/>
              </w:rPr>
            </w:pPr>
            <w:r w:rsidRPr="00D02F72">
              <w:rPr>
                <w:rFonts w:ascii="Arial Narrow" w:hAnsi="Arial Narrow" w:cs="DejaVuSans-BoldOblique"/>
                <w:b/>
                <w:bCs/>
                <w:iCs/>
                <w:sz w:val="28"/>
                <w:szCs w:val="28"/>
                <w:lang w:val="mk-MK"/>
              </w:rPr>
              <w:t>Неменаџирана</w:t>
            </w:r>
          </w:p>
          <w:p w:rsidR="00D02F72" w:rsidRPr="00D02F72" w:rsidRDefault="00D02F72" w:rsidP="00D02F72">
            <w:pPr>
              <w:autoSpaceDE w:val="0"/>
              <w:autoSpaceDN w:val="0"/>
              <w:adjustRightInd w:val="0"/>
              <w:rPr>
                <w:rFonts w:ascii="Arial Narrow" w:hAnsi="Arial Narrow" w:cs="DejaVuSans-BoldOblique"/>
                <w:b/>
                <w:bCs/>
                <w:iCs/>
                <w:sz w:val="28"/>
                <w:szCs w:val="28"/>
                <w:lang w:val="mk-MK"/>
              </w:rPr>
            </w:pPr>
            <w:r w:rsidRPr="00D02F72">
              <w:rPr>
                <w:rFonts w:ascii="Arial Narrow" w:hAnsi="Arial Narrow" w:cs="DejaVuSans-BoldOblique"/>
                <w:b/>
                <w:bCs/>
                <w:iCs/>
                <w:sz w:val="28"/>
                <w:szCs w:val="28"/>
                <w:lang w:val="mk-MK"/>
              </w:rPr>
              <w:t>длабока (&gt;=5m</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BoldOblique"/>
                <w:b/>
                <w:bCs/>
                <w:iCs/>
                <w:sz w:val="28"/>
                <w:szCs w:val="28"/>
                <w:lang w:val="mk-MK"/>
              </w:rPr>
              <w:t>отпад)</w:t>
            </w:r>
          </w:p>
        </w:tc>
        <w:tc>
          <w:tcPr>
            <w:tcW w:w="2463"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0,318</w:t>
            </w:r>
          </w:p>
        </w:tc>
        <w:tc>
          <w:tcPr>
            <w:tcW w:w="2464"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0,8</w:t>
            </w:r>
          </w:p>
        </w:tc>
        <w:tc>
          <w:tcPr>
            <w:tcW w:w="2464"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0,26</w:t>
            </w:r>
          </w:p>
        </w:tc>
      </w:tr>
      <w:tr w:rsidR="00D02F72" w:rsidRPr="00D02F72" w:rsidTr="00A07853">
        <w:tc>
          <w:tcPr>
            <w:tcW w:w="2463" w:type="dxa"/>
            <w:shd w:val="clear" w:color="auto" w:fill="EAF1DD" w:themeFill="accent3" w:themeFillTint="33"/>
          </w:tcPr>
          <w:p w:rsidR="00D02F72" w:rsidRPr="00D02F72" w:rsidRDefault="00D02F72" w:rsidP="00D02F72">
            <w:pPr>
              <w:autoSpaceDE w:val="0"/>
              <w:autoSpaceDN w:val="0"/>
              <w:adjustRightInd w:val="0"/>
              <w:rPr>
                <w:rFonts w:ascii="Arial Narrow" w:hAnsi="Arial Narrow" w:cs="DejaVuSans-BoldOblique"/>
                <w:b/>
                <w:bCs/>
                <w:iCs/>
                <w:sz w:val="28"/>
                <w:szCs w:val="28"/>
                <w:lang w:val="mk-MK"/>
              </w:rPr>
            </w:pPr>
            <w:r w:rsidRPr="00D02F72">
              <w:rPr>
                <w:rFonts w:ascii="Arial Narrow" w:hAnsi="Arial Narrow" w:cs="DejaVuSans-BoldOblique"/>
                <w:b/>
                <w:bCs/>
                <w:iCs/>
                <w:sz w:val="28"/>
                <w:szCs w:val="28"/>
                <w:lang w:val="mk-MK"/>
              </w:rPr>
              <w:t>Неменаџирана</w:t>
            </w:r>
          </w:p>
          <w:p w:rsidR="00D02F72" w:rsidRPr="00D02F72" w:rsidRDefault="00D02F72" w:rsidP="00D02F72">
            <w:pPr>
              <w:autoSpaceDE w:val="0"/>
              <w:autoSpaceDN w:val="0"/>
              <w:adjustRightInd w:val="0"/>
              <w:rPr>
                <w:rFonts w:ascii="Arial Narrow" w:hAnsi="Arial Narrow" w:cs="DejaVuSans-BoldOblique"/>
                <w:b/>
                <w:bCs/>
                <w:iCs/>
                <w:sz w:val="28"/>
                <w:szCs w:val="28"/>
                <w:lang w:val="mk-MK"/>
              </w:rPr>
            </w:pPr>
            <w:r w:rsidRPr="00D02F72">
              <w:rPr>
                <w:rFonts w:ascii="Arial Narrow" w:hAnsi="Arial Narrow" w:cs="DejaVuSans-BoldOblique"/>
                <w:b/>
                <w:bCs/>
                <w:iCs/>
                <w:sz w:val="28"/>
                <w:szCs w:val="28"/>
                <w:lang w:val="mk-MK"/>
              </w:rPr>
              <w:t>плитка (&lt; 5m</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BoldOblique"/>
                <w:b/>
                <w:bCs/>
                <w:iCs/>
                <w:sz w:val="28"/>
                <w:szCs w:val="28"/>
                <w:lang w:val="mk-MK"/>
              </w:rPr>
              <w:t>отпад)</w:t>
            </w:r>
          </w:p>
        </w:tc>
        <w:tc>
          <w:tcPr>
            <w:tcW w:w="2463"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0,4</w:t>
            </w:r>
          </w:p>
        </w:tc>
        <w:tc>
          <w:tcPr>
            <w:tcW w:w="2464"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0,4</w:t>
            </w:r>
          </w:p>
        </w:tc>
        <w:tc>
          <w:tcPr>
            <w:tcW w:w="2464"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0,16</w:t>
            </w:r>
          </w:p>
        </w:tc>
      </w:tr>
      <w:tr w:rsidR="00D02F72" w:rsidRPr="00D02F72" w:rsidTr="00A07853">
        <w:tc>
          <w:tcPr>
            <w:tcW w:w="2463" w:type="dxa"/>
            <w:shd w:val="clear" w:color="auto" w:fill="EAF1DD" w:themeFill="accent3" w:themeFillTint="33"/>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BoldOblique"/>
                <w:b/>
                <w:bCs/>
                <w:iCs/>
                <w:sz w:val="28"/>
                <w:szCs w:val="28"/>
                <w:lang w:val="mk-MK"/>
              </w:rPr>
              <w:t>Вкупно</w:t>
            </w:r>
          </w:p>
        </w:tc>
        <w:tc>
          <w:tcPr>
            <w:tcW w:w="2463" w:type="dxa"/>
          </w:tcPr>
          <w:p w:rsidR="00D02F72" w:rsidRPr="00D02F72" w:rsidRDefault="00D02F72" w:rsidP="00D02F72">
            <w:pPr>
              <w:autoSpaceDE w:val="0"/>
              <w:autoSpaceDN w:val="0"/>
              <w:adjustRightInd w:val="0"/>
              <w:spacing w:after="120"/>
              <w:jc w:val="right"/>
              <w:rPr>
                <w:rFonts w:ascii="Arial Narrow" w:hAnsi="Arial Narrow" w:cs="DejaVuSans"/>
                <w:b/>
                <w:sz w:val="28"/>
                <w:szCs w:val="28"/>
                <w:lang w:val="mk-MK"/>
              </w:rPr>
            </w:pPr>
            <w:r w:rsidRPr="00D02F72">
              <w:rPr>
                <w:rFonts w:ascii="Arial Narrow" w:hAnsi="Arial Narrow" w:cs="DejaVuSans"/>
                <w:b/>
                <w:sz w:val="28"/>
                <w:szCs w:val="28"/>
                <w:lang w:val="mk-MK"/>
              </w:rPr>
              <w:t>1</w:t>
            </w:r>
          </w:p>
        </w:tc>
        <w:tc>
          <w:tcPr>
            <w:tcW w:w="2464" w:type="dxa"/>
          </w:tcPr>
          <w:p w:rsidR="00D02F72" w:rsidRPr="00D02F72" w:rsidRDefault="00D02F72" w:rsidP="00D02F72">
            <w:pPr>
              <w:autoSpaceDE w:val="0"/>
              <w:autoSpaceDN w:val="0"/>
              <w:adjustRightInd w:val="0"/>
              <w:spacing w:after="120"/>
              <w:jc w:val="right"/>
              <w:rPr>
                <w:rFonts w:ascii="Arial Narrow" w:hAnsi="Arial Narrow" w:cs="DejaVuSans"/>
                <w:b/>
                <w:sz w:val="28"/>
                <w:szCs w:val="28"/>
                <w:lang w:val="mk-MK"/>
              </w:rPr>
            </w:pPr>
            <w:r w:rsidRPr="00D02F72">
              <w:rPr>
                <w:rFonts w:ascii="Arial Narrow" w:hAnsi="Arial Narrow" w:cs="DejaVuSans"/>
                <w:b/>
                <w:sz w:val="28"/>
                <w:szCs w:val="28"/>
                <w:lang w:val="mk-MK"/>
              </w:rPr>
              <w:t>0,6</w:t>
            </w:r>
          </w:p>
        </w:tc>
        <w:tc>
          <w:tcPr>
            <w:tcW w:w="2464" w:type="dxa"/>
          </w:tcPr>
          <w:p w:rsidR="00D02F72" w:rsidRPr="00D02F72" w:rsidRDefault="00D02F72" w:rsidP="00D02F72">
            <w:pPr>
              <w:autoSpaceDE w:val="0"/>
              <w:autoSpaceDN w:val="0"/>
              <w:adjustRightInd w:val="0"/>
              <w:spacing w:after="120"/>
              <w:jc w:val="right"/>
              <w:rPr>
                <w:rFonts w:ascii="Arial Narrow" w:hAnsi="Arial Narrow" w:cs="DejaVuSans"/>
                <w:b/>
                <w:sz w:val="28"/>
                <w:szCs w:val="28"/>
                <w:lang w:val="mk-MK"/>
              </w:rPr>
            </w:pPr>
            <w:r w:rsidRPr="00D02F72">
              <w:rPr>
                <w:rFonts w:ascii="Arial Narrow" w:hAnsi="Arial Narrow" w:cs="DejaVuSans"/>
                <w:b/>
                <w:sz w:val="28"/>
                <w:szCs w:val="28"/>
                <w:lang w:val="mk-MK"/>
              </w:rPr>
              <w:t>0,70</w:t>
            </w:r>
          </w:p>
        </w:tc>
      </w:tr>
    </w:tbl>
    <w:p w:rsidR="00D02F72" w:rsidRPr="00D02F72" w:rsidRDefault="00D02F72" w:rsidP="00D02F72">
      <w:pPr>
        <w:spacing w:line="300" w:lineRule="exact"/>
        <w:jc w:val="both"/>
        <w:rPr>
          <w:rFonts w:ascii="Arial" w:eastAsia="Calibri" w:hAnsi="Arial" w:cs="Arial"/>
          <w:lang w:val="mk-MK"/>
        </w:rPr>
      </w:pP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 xml:space="preserve">Клучен параметар при одредување на вкупните емисии на метан од депониите, е вредноста на разградливиот органски јаглерод и директно зависи од разните фракции на отпадот кој се одлага на депониите. Вредностите на овие фракции се превземени од Ревидираните прирачници на ИПЦЦ, со што се пресметана оваа вредност и е </w:t>
      </w:r>
      <w:r w:rsidRPr="00D02F72">
        <w:rPr>
          <w:rFonts w:ascii="Arial Narrow" w:hAnsi="Arial Narrow" w:cs="DejaVuSans"/>
          <w:sz w:val="28"/>
          <w:szCs w:val="28"/>
          <w:lang w:val="mk-MK"/>
        </w:rPr>
        <w:lastRenderedPageBreak/>
        <w:t xml:space="preserve">еднаква на 19.23%. Емисиите на метан во една година се пресметуваат по формулата: </w:t>
      </w:r>
      <w:r w:rsidRPr="00D02F72">
        <w:rPr>
          <w:rFonts w:ascii="Arial Narrow" w:hAnsi="Arial Narrow" w:cs="DejaVuSans-Bold"/>
          <w:b/>
          <w:bCs/>
          <w:sz w:val="28"/>
          <w:szCs w:val="28"/>
          <w:lang w:val="mk-MK"/>
        </w:rPr>
        <w:t>CH4</w:t>
      </w:r>
      <w:r w:rsidRPr="00D02F72">
        <w:rPr>
          <w:rFonts w:ascii="Arial Narrow" w:hAnsi="Arial Narrow" w:cs="DejaVuSans"/>
          <w:sz w:val="28"/>
          <w:szCs w:val="28"/>
          <w:lang w:val="mk-MK"/>
        </w:rPr>
        <w:t xml:space="preserve"> </w:t>
      </w:r>
      <w:r w:rsidRPr="00D02F72">
        <w:rPr>
          <w:rFonts w:ascii="Arial Narrow" w:hAnsi="Arial Narrow" w:cs="DejaVuSans-Bold"/>
          <w:b/>
          <w:bCs/>
          <w:sz w:val="28"/>
          <w:szCs w:val="28"/>
          <w:lang w:val="mk-MK"/>
        </w:rPr>
        <w:t>емитиран во годината (кт/год) = [CH4 генериран во годината – R(тон)]</w:t>
      </w:r>
      <w:r w:rsidRPr="00D02F72">
        <w:rPr>
          <w:rFonts w:ascii="Arial Narrow" w:hAnsi="Arial Narrow" w:cs="DejaVuSans"/>
          <w:sz w:val="28"/>
          <w:szCs w:val="28"/>
          <w:lang w:val="mk-MK"/>
        </w:rPr>
        <w:t xml:space="preserve"> </w:t>
      </w:r>
      <w:r w:rsidRPr="00D02F72">
        <w:rPr>
          <w:rFonts w:ascii="Arial Narrow" w:hAnsi="Arial Narrow" w:cs="DejaVuSans-Bold"/>
          <w:b/>
          <w:bCs/>
          <w:sz w:val="28"/>
          <w:szCs w:val="28"/>
          <w:lang w:val="mk-MK"/>
        </w:rPr>
        <w:t xml:space="preserve">•(1-OX) Каде што: </w:t>
      </w:r>
      <w:r w:rsidRPr="00D02F72">
        <w:rPr>
          <w:rFonts w:ascii="Arial Narrow" w:hAnsi="Arial Narrow" w:cs="DejaVuSans"/>
          <w:sz w:val="28"/>
          <w:szCs w:val="28"/>
          <w:lang w:val="mk-MK"/>
        </w:rPr>
        <w:t>R – метан што е реупотребен, OX – оксидационен фактор</w:t>
      </w:r>
      <w:r w:rsidRPr="00D02F72">
        <w:rPr>
          <w:rFonts w:ascii="Arial Narrow" w:hAnsi="Arial Narrow" w:cs="DejaVuSans-Bold"/>
          <w:b/>
          <w:bCs/>
          <w:sz w:val="28"/>
          <w:szCs w:val="28"/>
          <w:lang w:val="mk-MK"/>
        </w:rPr>
        <w:t xml:space="preserve">. </w:t>
      </w:r>
      <w:r w:rsidRPr="00D02F72">
        <w:rPr>
          <w:rFonts w:ascii="Arial Narrow" w:hAnsi="Arial Narrow" w:cs="DejaVuSans"/>
          <w:sz w:val="28"/>
          <w:szCs w:val="28"/>
          <w:lang w:val="mk-MK"/>
        </w:rPr>
        <w:t>Во овие пресметки R и OX се земаат со вредност 0.</w:t>
      </w:r>
    </w:p>
    <w:p w:rsidR="00D02F72" w:rsidRPr="00D02F72" w:rsidRDefault="00D02F72" w:rsidP="00D02F72">
      <w:pPr>
        <w:keepNext/>
        <w:tabs>
          <w:tab w:val="left" w:pos="1701"/>
        </w:tabs>
        <w:spacing w:before="120" w:after="120" w:line="240" w:lineRule="auto"/>
        <w:ind w:left="1701" w:right="567" w:hanging="1134"/>
        <w:rPr>
          <w:rFonts w:ascii="StobiSerifIt Regular" w:hAnsi="StobiSerifIt Regular"/>
          <w:i/>
          <w:color w:val="4F6228" w:themeColor="accent3" w:themeShade="80"/>
          <w:sz w:val="24"/>
          <w:szCs w:val="24"/>
          <w:lang w:val="mk-MK" w:eastAsia="en-GB"/>
        </w:rPr>
      </w:pPr>
      <w:r w:rsidRPr="00D02F72">
        <w:rPr>
          <w:rFonts w:ascii="StobiSerifIt Regular" w:hAnsi="StobiSerifIt Regular"/>
          <w:i/>
          <w:color w:val="4F6228" w:themeColor="accent3" w:themeShade="80"/>
          <w:sz w:val="24"/>
          <w:szCs w:val="24"/>
          <w:lang w:val="mk-MK" w:eastAsia="en-GB"/>
        </w:rPr>
        <w:t>Емисија на метан од депонии за цврст отпад во Општина Богданци, за 2012 година</w:t>
      </w:r>
    </w:p>
    <w:tbl>
      <w:tblPr>
        <w:tblStyle w:val="TableGrid"/>
        <w:tblW w:w="0" w:type="auto"/>
        <w:tblLook w:val="04A0" w:firstRow="1" w:lastRow="0" w:firstColumn="1" w:lastColumn="0" w:noHBand="0" w:noVBand="1"/>
      </w:tblPr>
      <w:tblGrid>
        <w:gridCol w:w="1397"/>
        <w:gridCol w:w="1387"/>
        <w:gridCol w:w="1127"/>
        <w:gridCol w:w="1045"/>
        <w:gridCol w:w="1128"/>
        <w:gridCol w:w="1387"/>
        <w:gridCol w:w="1128"/>
        <w:gridCol w:w="977"/>
      </w:tblGrid>
      <w:tr w:rsidR="00D02F72" w:rsidRPr="00D02F72" w:rsidTr="00A07853">
        <w:tc>
          <w:tcPr>
            <w:tcW w:w="1397" w:type="dxa"/>
            <w:shd w:val="clear" w:color="auto" w:fill="D6E3BC" w:themeFill="accent3" w:themeFillTint="66"/>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Население</w:t>
            </w:r>
          </w:p>
        </w:tc>
        <w:tc>
          <w:tcPr>
            <w:tcW w:w="1387" w:type="dxa"/>
            <w:shd w:val="clear" w:color="auto" w:fill="D6E3BC" w:themeFill="accent3" w:themeFillTint="66"/>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Рата на</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генерирањ</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е на</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комунален</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отпад</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(кг/жител/д</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ен)</w:t>
            </w:r>
          </w:p>
        </w:tc>
        <w:tc>
          <w:tcPr>
            <w:tcW w:w="1166" w:type="dxa"/>
            <w:shd w:val="clear" w:color="auto" w:fill="D6E3BC" w:themeFill="accent3" w:themeFillTint="66"/>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Годишн</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а</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количин</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а на</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генерир</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ан</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комунал</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ен</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отпад</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(тони</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комунал</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ен</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отпад)</w:t>
            </w:r>
          </w:p>
        </w:tc>
        <w:tc>
          <w:tcPr>
            <w:tcW w:w="1114" w:type="dxa"/>
            <w:shd w:val="clear" w:color="auto" w:fill="D6E3BC" w:themeFill="accent3" w:themeFillTint="66"/>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Фракци</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ја на</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отпад</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кој се</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фрла</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во</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депони</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ја</w:t>
            </w:r>
          </w:p>
        </w:tc>
        <w:tc>
          <w:tcPr>
            <w:tcW w:w="1166" w:type="dxa"/>
            <w:shd w:val="clear" w:color="auto" w:fill="D6E3BC" w:themeFill="accent3" w:themeFillTint="66"/>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Вкупно</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комунал</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ен</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отпад</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фрлен</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во</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депониј</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а</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(тони</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комунал</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ен</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отпад )</w:t>
            </w:r>
          </w:p>
        </w:tc>
        <w:tc>
          <w:tcPr>
            <w:tcW w:w="1387" w:type="dxa"/>
            <w:shd w:val="clear" w:color="auto" w:fill="D6E3BC" w:themeFill="accent3" w:themeFillTint="66"/>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Стапка на</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фрлање на</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комунален</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отпад на</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депонија</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(кг/жител/д</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ен)</w:t>
            </w:r>
          </w:p>
        </w:tc>
        <w:tc>
          <w:tcPr>
            <w:tcW w:w="1166" w:type="dxa"/>
            <w:shd w:val="clear" w:color="auto" w:fill="D6E3BC" w:themeFill="accent3" w:themeFillTint="66"/>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Вкупно</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комунал</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ен</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отпад</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фрлен</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на</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депониј</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а</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(тони</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комунал</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ен</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отпад )</w:t>
            </w:r>
          </w:p>
        </w:tc>
        <w:tc>
          <w:tcPr>
            <w:tcW w:w="1071" w:type="dxa"/>
            <w:shd w:val="clear" w:color="auto" w:fill="D6E3BC" w:themeFill="accent3" w:themeFillTint="66"/>
          </w:tcPr>
          <w:p w:rsidR="00D02F72" w:rsidRPr="00D02F72" w:rsidRDefault="00D02F72" w:rsidP="00D02F72">
            <w:pPr>
              <w:autoSpaceDE w:val="0"/>
              <w:autoSpaceDN w:val="0"/>
              <w:adjustRightInd w:val="0"/>
              <w:rPr>
                <w:rFonts w:ascii="Arial Narrow" w:hAnsi="Arial Narrow" w:cs="DejaVuSans-Bold"/>
                <w:b/>
                <w:bCs/>
                <w:sz w:val="28"/>
                <w:szCs w:val="28"/>
                <w:lang w:val="mk-MK"/>
              </w:rPr>
            </w:pPr>
            <w:r w:rsidRPr="00D02F72">
              <w:rPr>
                <w:rFonts w:ascii="Arial Narrow" w:hAnsi="Arial Narrow" w:cs="DejaVuSans-Bold"/>
                <w:b/>
                <w:bCs/>
                <w:sz w:val="28"/>
                <w:szCs w:val="28"/>
                <w:lang w:val="mk-MK"/>
              </w:rPr>
              <w:t>Годи</w:t>
            </w:r>
          </w:p>
          <w:p w:rsidR="00D02F72" w:rsidRPr="00D02F72" w:rsidRDefault="00D02F72" w:rsidP="00D02F72">
            <w:pPr>
              <w:autoSpaceDE w:val="0"/>
              <w:autoSpaceDN w:val="0"/>
              <w:adjustRightInd w:val="0"/>
              <w:rPr>
                <w:rFonts w:ascii="Arial Narrow" w:hAnsi="Arial Narrow" w:cs="DejaVuSans-Bold"/>
                <w:b/>
                <w:bCs/>
                <w:sz w:val="28"/>
                <w:szCs w:val="28"/>
                <w:lang w:val="mk-MK"/>
              </w:rPr>
            </w:pPr>
            <w:r w:rsidRPr="00D02F72">
              <w:rPr>
                <w:rFonts w:ascii="Arial Narrow" w:hAnsi="Arial Narrow" w:cs="DejaVuSans-Bold"/>
                <w:b/>
                <w:bCs/>
                <w:sz w:val="28"/>
                <w:szCs w:val="28"/>
                <w:lang w:val="mk-MK"/>
              </w:rPr>
              <w:t>шна</w:t>
            </w:r>
          </w:p>
          <w:p w:rsidR="00D02F72" w:rsidRPr="00D02F72" w:rsidRDefault="00D02F72" w:rsidP="00D02F72">
            <w:pPr>
              <w:autoSpaceDE w:val="0"/>
              <w:autoSpaceDN w:val="0"/>
              <w:adjustRightInd w:val="0"/>
              <w:rPr>
                <w:rFonts w:ascii="Arial Narrow" w:hAnsi="Arial Narrow" w:cs="DejaVuSans-Bold"/>
                <w:b/>
                <w:bCs/>
                <w:sz w:val="28"/>
                <w:szCs w:val="28"/>
                <w:lang w:val="mk-MK"/>
              </w:rPr>
            </w:pPr>
            <w:r w:rsidRPr="00D02F72">
              <w:rPr>
                <w:rFonts w:ascii="Arial Narrow" w:hAnsi="Arial Narrow" w:cs="DejaVuSans-Bold"/>
                <w:b/>
                <w:bCs/>
                <w:sz w:val="28"/>
                <w:szCs w:val="28"/>
                <w:lang w:val="mk-MK"/>
              </w:rPr>
              <w:t>емиси</w:t>
            </w:r>
          </w:p>
          <w:p w:rsidR="00D02F72" w:rsidRPr="00D02F72" w:rsidRDefault="00D02F72" w:rsidP="00D02F72">
            <w:pPr>
              <w:autoSpaceDE w:val="0"/>
              <w:autoSpaceDN w:val="0"/>
              <w:adjustRightInd w:val="0"/>
              <w:rPr>
                <w:rFonts w:ascii="Arial Narrow" w:hAnsi="Arial Narrow" w:cs="DejaVuSans-Bold"/>
                <w:b/>
                <w:bCs/>
                <w:sz w:val="28"/>
                <w:szCs w:val="28"/>
                <w:lang w:val="mk-MK"/>
              </w:rPr>
            </w:pPr>
            <w:r w:rsidRPr="00D02F72">
              <w:rPr>
                <w:rFonts w:ascii="Arial Narrow" w:hAnsi="Arial Narrow" w:cs="DejaVuSans-Bold"/>
                <w:b/>
                <w:bCs/>
                <w:sz w:val="28"/>
                <w:szCs w:val="28"/>
                <w:lang w:val="mk-MK"/>
              </w:rPr>
              <w:t>ја на</w:t>
            </w:r>
          </w:p>
          <w:p w:rsidR="00D02F72" w:rsidRPr="00D02F72" w:rsidRDefault="00D02F72" w:rsidP="00D02F72">
            <w:pPr>
              <w:autoSpaceDE w:val="0"/>
              <w:autoSpaceDN w:val="0"/>
              <w:adjustRightInd w:val="0"/>
              <w:rPr>
                <w:rFonts w:ascii="Arial Narrow" w:hAnsi="Arial Narrow" w:cs="DejaVuSans-Bold"/>
                <w:b/>
                <w:bCs/>
                <w:sz w:val="28"/>
                <w:szCs w:val="28"/>
                <w:lang w:val="mk-MK"/>
              </w:rPr>
            </w:pPr>
            <w:r w:rsidRPr="00D02F72">
              <w:rPr>
                <w:rFonts w:ascii="Arial Narrow" w:hAnsi="Arial Narrow" w:cs="DejaVuSans-Bold"/>
                <w:b/>
                <w:bCs/>
                <w:sz w:val="28"/>
                <w:szCs w:val="28"/>
                <w:lang w:val="mk-MK"/>
              </w:rPr>
              <w:t>метан</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Bold"/>
                <w:b/>
                <w:bCs/>
                <w:sz w:val="28"/>
                <w:szCs w:val="28"/>
                <w:lang w:val="mk-MK"/>
              </w:rPr>
              <w:t>(тони)</w:t>
            </w:r>
          </w:p>
        </w:tc>
      </w:tr>
      <w:tr w:rsidR="00D02F72" w:rsidRPr="00D02F72" w:rsidTr="00A07853">
        <w:tc>
          <w:tcPr>
            <w:tcW w:w="1397" w:type="dxa"/>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8707</w:t>
            </w:r>
          </w:p>
        </w:tc>
        <w:tc>
          <w:tcPr>
            <w:tcW w:w="1387" w:type="dxa"/>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0,86</w:t>
            </w:r>
          </w:p>
        </w:tc>
        <w:tc>
          <w:tcPr>
            <w:tcW w:w="1166" w:type="dxa"/>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2730</w:t>
            </w:r>
          </w:p>
        </w:tc>
        <w:tc>
          <w:tcPr>
            <w:tcW w:w="1114" w:type="dxa"/>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0,93</w:t>
            </w:r>
          </w:p>
        </w:tc>
        <w:tc>
          <w:tcPr>
            <w:tcW w:w="1166" w:type="dxa"/>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2535</w:t>
            </w:r>
          </w:p>
        </w:tc>
        <w:tc>
          <w:tcPr>
            <w:tcW w:w="1387" w:type="dxa"/>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0,7578</w:t>
            </w:r>
          </w:p>
        </w:tc>
        <w:tc>
          <w:tcPr>
            <w:tcW w:w="1166" w:type="dxa"/>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2408</w:t>
            </w:r>
          </w:p>
        </w:tc>
        <w:tc>
          <w:tcPr>
            <w:tcW w:w="1071" w:type="dxa"/>
            <w:shd w:val="clear" w:color="auto" w:fill="76923C" w:themeFill="accent3" w:themeFillShade="BF"/>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142,64</w:t>
            </w:r>
          </w:p>
        </w:tc>
      </w:tr>
    </w:tbl>
    <w:p w:rsidR="00D02F72" w:rsidRPr="00D02F72" w:rsidRDefault="00D02F72" w:rsidP="00D02F72">
      <w:pPr>
        <w:spacing w:line="300" w:lineRule="exact"/>
        <w:jc w:val="both"/>
        <w:rPr>
          <w:rFonts w:ascii="Arial" w:eastAsia="Calibri" w:hAnsi="Arial" w:cs="Arial"/>
          <w:lang w:val="mk-MK"/>
        </w:rPr>
      </w:pP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Емисијата на метан од депониите во општина Богданци, изнесува 142,64 тони за 2012 година, односно 2995,44 тони CO2-екв, доколку се помножи со соодветниот потенцијал за глобално затоплување.</w:t>
      </w:r>
    </w:p>
    <w:p w:rsidR="00D02F72" w:rsidRPr="00D02F72" w:rsidRDefault="00D02F72" w:rsidP="00D02F72">
      <w:pPr>
        <w:keepNext/>
        <w:numPr>
          <w:ilvl w:val="3"/>
          <w:numId w:val="0"/>
        </w:numPr>
        <w:spacing w:before="200" w:line="300" w:lineRule="exact"/>
        <w:ind w:left="1134" w:hanging="1134"/>
        <w:outlineLvl w:val="3"/>
        <w:rPr>
          <w:rFonts w:ascii="Arial" w:hAnsi="Arial" w:cs="Arial"/>
          <w:bCs/>
          <w:color w:val="4F6228"/>
          <w:lang w:val="mk-MK"/>
          <w14:textFill>
            <w14:solidFill>
              <w14:srgbClr w14:val="4F6228">
                <w14:lumMod w14:val="50000"/>
              </w14:srgbClr>
            </w14:solidFill>
          </w14:textFill>
        </w:rPr>
      </w:pPr>
      <w:r w:rsidRPr="00D02F72">
        <w:rPr>
          <w:rFonts w:ascii="Arial" w:hAnsi="Arial" w:cs="Arial"/>
          <w:bCs/>
          <w:color w:val="4F6228"/>
          <w:lang w:val="mk-MK"/>
          <w14:textFill>
            <w14:solidFill>
              <w14:srgbClr w14:val="4F6228">
                <w14:lumMod w14:val="50000"/>
              </w14:srgbClr>
            </w14:solidFill>
          </w14:textFill>
        </w:rPr>
        <w:t>Емисии на метан од резиденцијални/комерцијални органски отпадни води и талози</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 xml:space="preserve">Отпадната вода може да биде значителен извор на метан. Канализациите може да бидат отворени или затворени. Обично во урбаните средини тие се затворени и подземни и може да имаат системи за прочистување. Овој вид на канализации не се значителни емитери на метан за разлика од отворените системи кои ги има во руралните средини. Затоа за општинските инвентари е битно да се пресмета емисијата на метан од органските отпадни води. Емисиите на метан директно зависат од разградливата органска материја во водата и се зголемуваат со порастот на температурата. Основен параметар за пресметка на содржината на органска материја, е биохемиската побарувачка на кислород (БПК). Концентрацијата на БПК </w:t>
      </w:r>
      <w:r w:rsidRPr="00D02F72">
        <w:rPr>
          <w:rFonts w:ascii="Arial Narrow" w:hAnsi="Arial Narrow" w:cs="DejaVuSans"/>
          <w:sz w:val="28"/>
          <w:szCs w:val="28"/>
          <w:lang w:val="mk-MK"/>
        </w:rPr>
        <w:lastRenderedPageBreak/>
        <w:t>претставува количина на јаглерод кој е аеробно разградлив. Стандардно мерење за БПК е тестирање на примерокот во текот на 5 дена. Оваа вредност е земена како стандарден параметар од Ревидираните прирачници на ИПЦЦ.</w:t>
      </w:r>
    </w:p>
    <w:p w:rsidR="00D02F72" w:rsidRPr="00D02F72" w:rsidRDefault="00D02F72" w:rsidP="00D02F72">
      <w:pPr>
        <w:keepNext/>
        <w:tabs>
          <w:tab w:val="left" w:pos="1701"/>
        </w:tabs>
        <w:spacing w:before="120" w:after="120" w:line="240" w:lineRule="auto"/>
        <w:ind w:left="1701" w:right="567" w:hanging="1134"/>
        <w:rPr>
          <w:rFonts w:ascii="StobiSerifIt Regular" w:hAnsi="StobiSerifIt Regular"/>
          <w:i/>
          <w:color w:val="4F6228" w:themeColor="accent3" w:themeShade="80"/>
          <w:sz w:val="28"/>
          <w:szCs w:val="28"/>
          <w:lang w:val="mk-MK" w:eastAsia="en-GB"/>
        </w:rPr>
      </w:pPr>
      <w:r w:rsidRPr="00D02F72">
        <w:rPr>
          <w:rFonts w:ascii="StobiSerifIt Regular" w:hAnsi="StobiSerifIt Regular"/>
          <w:i/>
          <w:color w:val="4F6228" w:themeColor="accent3" w:themeShade="80"/>
          <w:lang w:val="mk-MK" w:eastAsia="en-GB"/>
        </w:rPr>
        <w:t>Емисијата на метан од отпадните води ва Општина Богданци за 2012 година</w:t>
      </w:r>
    </w:p>
    <w:tbl>
      <w:tblPr>
        <w:tblStyle w:val="TableGrid"/>
        <w:tblW w:w="0" w:type="auto"/>
        <w:tblLook w:val="04A0" w:firstRow="1" w:lastRow="0" w:firstColumn="1" w:lastColumn="0" w:noHBand="0" w:noVBand="1"/>
      </w:tblPr>
      <w:tblGrid>
        <w:gridCol w:w="1889"/>
        <w:gridCol w:w="1915"/>
        <w:gridCol w:w="1937"/>
        <w:gridCol w:w="1966"/>
        <w:gridCol w:w="1869"/>
      </w:tblGrid>
      <w:tr w:rsidR="00D02F72" w:rsidRPr="00D02F72" w:rsidTr="00A07853">
        <w:tc>
          <w:tcPr>
            <w:tcW w:w="1970" w:type="dxa"/>
            <w:shd w:val="clear" w:color="auto" w:fill="D6E3BC" w:themeFill="accent3" w:themeFillTint="66"/>
          </w:tcPr>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
                <w:sz w:val="28"/>
                <w:szCs w:val="28"/>
                <w:lang w:val="mk-MK"/>
              </w:rPr>
              <w:t>Општина</w:t>
            </w:r>
          </w:p>
        </w:tc>
        <w:tc>
          <w:tcPr>
            <w:tcW w:w="1971"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Популација (1000 жители)</w:t>
            </w:r>
          </w:p>
        </w:tc>
        <w:tc>
          <w:tcPr>
            <w:tcW w:w="1971"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Разградлива</w:t>
            </w:r>
          </w:p>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органска</w:t>
            </w:r>
          </w:p>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компонента</w:t>
            </w:r>
          </w:p>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(кг BOD/1000</w:t>
            </w:r>
          </w:p>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жители/годин</w:t>
            </w:r>
          </w:p>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
                <w:sz w:val="28"/>
                <w:szCs w:val="28"/>
                <w:lang w:val="mk-MK"/>
              </w:rPr>
              <w:t>а)</w:t>
            </w:r>
          </w:p>
        </w:tc>
        <w:tc>
          <w:tcPr>
            <w:tcW w:w="1971"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Вкупно</w:t>
            </w:r>
          </w:p>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резиденцијална</w:t>
            </w:r>
          </w:p>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отпадна вода</w:t>
            </w:r>
          </w:p>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
                <w:sz w:val="28"/>
                <w:szCs w:val="28"/>
                <w:lang w:val="mk-MK"/>
              </w:rPr>
              <w:t>(кг БПК/год)</w:t>
            </w:r>
          </w:p>
        </w:tc>
        <w:tc>
          <w:tcPr>
            <w:tcW w:w="1971"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Емисии на</w:t>
            </w:r>
          </w:p>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
                <w:sz w:val="28"/>
                <w:szCs w:val="28"/>
                <w:lang w:val="mk-MK"/>
              </w:rPr>
              <w:t>метан (тони)</w:t>
            </w:r>
          </w:p>
        </w:tc>
      </w:tr>
      <w:tr w:rsidR="00D02F72" w:rsidRPr="00D02F72" w:rsidTr="00A07853">
        <w:tc>
          <w:tcPr>
            <w:tcW w:w="1970" w:type="dxa"/>
          </w:tcPr>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
                <w:sz w:val="28"/>
                <w:szCs w:val="28"/>
                <w:lang w:val="mk-MK"/>
              </w:rPr>
              <w:t>Богданци</w:t>
            </w:r>
          </w:p>
        </w:tc>
        <w:tc>
          <w:tcPr>
            <w:tcW w:w="1971" w:type="dxa"/>
          </w:tcPr>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
                <w:sz w:val="28"/>
                <w:szCs w:val="28"/>
                <w:lang w:val="mk-MK"/>
              </w:rPr>
              <w:t>8,7</w:t>
            </w:r>
          </w:p>
        </w:tc>
        <w:tc>
          <w:tcPr>
            <w:tcW w:w="1971" w:type="dxa"/>
          </w:tcPr>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
                <w:sz w:val="28"/>
                <w:szCs w:val="28"/>
                <w:lang w:val="mk-MK"/>
              </w:rPr>
              <w:t>18,250</w:t>
            </w:r>
          </w:p>
        </w:tc>
        <w:tc>
          <w:tcPr>
            <w:tcW w:w="1971" w:type="dxa"/>
          </w:tcPr>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
                <w:sz w:val="28"/>
                <w:szCs w:val="28"/>
                <w:lang w:val="mk-MK"/>
              </w:rPr>
              <w:t>96,550</w:t>
            </w:r>
          </w:p>
        </w:tc>
        <w:tc>
          <w:tcPr>
            <w:tcW w:w="1971" w:type="dxa"/>
            <w:shd w:val="clear" w:color="auto" w:fill="76923C" w:themeFill="accent3" w:themeFillShade="BF"/>
          </w:tcPr>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
                <w:sz w:val="28"/>
                <w:szCs w:val="28"/>
                <w:lang w:val="mk-MK"/>
              </w:rPr>
              <w:t>9,93</w:t>
            </w:r>
          </w:p>
        </w:tc>
      </w:tr>
    </w:tbl>
    <w:p w:rsidR="00D02F72" w:rsidRPr="00D02F72" w:rsidRDefault="00D02F72" w:rsidP="00D02F72">
      <w:pPr>
        <w:spacing w:line="300" w:lineRule="exact"/>
        <w:jc w:val="both"/>
        <w:rPr>
          <w:rFonts w:ascii="Arial" w:eastAsia="Calibri" w:hAnsi="Arial" w:cs="Arial"/>
          <w:lang w:val="mk-MK"/>
        </w:rPr>
      </w:pP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Емисијата на метан од отпадните води за општина Богданци изнесува 9,93 тони за 2012 година, односно 208,53 тони CO2-екв доколку се помножи со нсоодветниот потенцијал за глобално затоплување.</w:t>
      </w:r>
    </w:p>
    <w:p w:rsidR="00D02F72" w:rsidRPr="00D02F72" w:rsidRDefault="00D02F72" w:rsidP="00D02F72">
      <w:pPr>
        <w:keepNext/>
        <w:numPr>
          <w:ilvl w:val="3"/>
          <w:numId w:val="0"/>
        </w:numPr>
        <w:spacing w:before="200" w:line="300" w:lineRule="exact"/>
        <w:ind w:left="1134" w:hanging="1134"/>
        <w:outlineLvl w:val="3"/>
        <w:rPr>
          <w:rFonts w:ascii="Arial" w:hAnsi="Arial" w:cs="DejaVuSans"/>
          <w:bCs/>
          <w:color w:val="4F6228"/>
          <w:lang w:val="mk-MK"/>
          <w14:textFill>
            <w14:solidFill>
              <w14:srgbClr w14:val="4F6228">
                <w14:lumMod w14:val="50000"/>
              </w14:srgbClr>
            </w14:solidFill>
          </w14:textFill>
        </w:rPr>
      </w:pPr>
      <w:r w:rsidRPr="00D02F72">
        <w:rPr>
          <w:rFonts w:ascii="Arial" w:hAnsi="Arial" w:cs="Arial"/>
          <w:bCs/>
          <w:color w:val="4F6228"/>
          <w:lang w:val="mk-MK"/>
          <w14:textFill>
            <w14:solidFill>
              <w14:srgbClr w14:val="4F6228">
                <w14:lumMod w14:val="50000"/>
              </w14:srgbClr>
            </w14:solidFill>
          </w14:textFill>
        </w:rPr>
        <w:t>Емисии на диазотоксид од канализациите</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Диазотниотоксид (N2O) е последица на распаѓањето на азотните компоненти во отпадните води, на пример уреа, нитрати и протеини. Резиденцијалните отпадни води вклучуваат канализација помешана со друг вид на отпадни води на пример вода од машини за перење, води кои се користат во земјоделството, итн. Оваа вода најчесто се исфрла во поголема водна површина (пр. река, езеро). Директните емисии на диазотоксид се генерираат од два процеси: нитрификација и денитрификација на присутниот азот во соединението каде што азотниот оксид е интермедијален продукт и во двата процеси. За да се пресметаат овие емисии, клучен податок е консумацијата на протеини по глава на жител, кој е превземен од податочната база на FAOSAT за Македонија и изнесува 27.92 кг/жител/год.</w:t>
      </w:r>
    </w:p>
    <w:p w:rsidR="00D02F72" w:rsidRPr="00D02F72" w:rsidRDefault="00D02F72" w:rsidP="00D02F72">
      <w:pPr>
        <w:keepNext/>
        <w:tabs>
          <w:tab w:val="left" w:pos="1701"/>
        </w:tabs>
        <w:spacing w:before="120" w:after="120" w:line="240" w:lineRule="auto"/>
        <w:ind w:left="1701" w:right="567" w:hanging="1134"/>
        <w:rPr>
          <w:rFonts w:ascii="StobiSerifIt Regular" w:hAnsi="StobiSerifIt Regular"/>
          <w:i/>
          <w:color w:val="4F6228" w:themeColor="accent3" w:themeShade="80"/>
          <w:sz w:val="28"/>
          <w:szCs w:val="28"/>
          <w:lang w:val="mk-MK" w:eastAsia="en-GB"/>
        </w:rPr>
      </w:pPr>
      <w:r w:rsidRPr="00D02F72">
        <w:rPr>
          <w:rFonts w:ascii="StobiSerifIt Regular" w:hAnsi="StobiSerifIt Regular"/>
          <w:i/>
          <w:color w:val="4F6228" w:themeColor="accent3" w:themeShade="80"/>
          <w:lang w:val="mk-MK" w:eastAsia="en-GB"/>
        </w:rPr>
        <w:t>Емисии на азотен оксид од канализација во општина Богданци за 2012 година</w:t>
      </w:r>
    </w:p>
    <w:tbl>
      <w:tblPr>
        <w:tblStyle w:val="TableGrid"/>
        <w:tblW w:w="0" w:type="auto"/>
        <w:tblLook w:val="04A0" w:firstRow="1" w:lastRow="0" w:firstColumn="1" w:lastColumn="0" w:noHBand="0" w:noVBand="1"/>
      </w:tblPr>
      <w:tblGrid>
        <w:gridCol w:w="1662"/>
        <w:gridCol w:w="1580"/>
        <w:gridCol w:w="1525"/>
        <w:gridCol w:w="1728"/>
        <w:gridCol w:w="1596"/>
        <w:gridCol w:w="1485"/>
      </w:tblGrid>
      <w:tr w:rsidR="00D02F72" w:rsidRPr="00D02F72" w:rsidTr="00A07853">
        <w:tc>
          <w:tcPr>
            <w:tcW w:w="1662"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Консумација</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на протеин по</w:t>
            </w:r>
          </w:p>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Bold"/>
                <w:b/>
                <w:bCs/>
                <w:sz w:val="28"/>
                <w:szCs w:val="28"/>
                <w:lang w:val="mk-MK"/>
              </w:rPr>
              <w:t>жител</w:t>
            </w:r>
          </w:p>
        </w:tc>
        <w:tc>
          <w:tcPr>
            <w:tcW w:w="1625"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Население</w:t>
            </w:r>
          </w:p>
        </w:tc>
        <w:tc>
          <w:tcPr>
            <w:tcW w:w="1610"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Фракција</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на азот во</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протеин</w:t>
            </w:r>
          </w:p>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Bold"/>
                <w:b/>
                <w:bCs/>
                <w:sz w:val="28"/>
                <w:szCs w:val="28"/>
                <w:lang w:val="mk-MK"/>
              </w:rPr>
              <w:t>FracNPR</w:t>
            </w:r>
          </w:p>
        </w:tc>
        <w:tc>
          <w:tcPr>
            <w:tcW w:w="1728"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Количина</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на азот во</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канализација</w:t>
            </w:r>
          </w:p>
        </w:tc>
        <w:tc>
          <w:tcPr>
            <w:tcW w:w="1630"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Емисионен</w:t>
            </w:r>
          </w:p>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Bold"/>
                <w:b/>
                <w:bCs/>
                <w:sz w:val="28"/>
                <w:szCs w:val="28"/>
                <w:lang w:val="mk-MK"/>
              </w:rPr>
              <w:t>фактор</w:t>
            </w:r>
          </w:p>
        </w:tc>
        <w:tc>
          <w:tcPr>
            <w:tcW w:w="1599" w:type="dxa"/>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Емисија на</w:t>
            </w:r>
          </w:p>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Bold"/>
                <w:b/>
                <w:bCs/>
                <w:sz w:val="28"/>
                <w:szCs w:val="28"/>
                <w:lang w:val="mk-MK"/>
              </w:rPr>
              <w:t>N2O</w:t>
            </w:r>
          </w:p>
        </w:tc>
      </w:tr>
      <w:tr w:rsidR="00D02F72" w:rsidRPr="00D02F72" w:rsidTr="00A07853">
        <w:tc>
          <w:tcPr>
            <w:tcW w:w="1662" w:type="dxa"/>
            <w:shd w:val="clear" w:color="auto" w:fill="EAF1DD" w:themeFill="accent3" w:themeFillTint="33"/>
          </w:tcPr>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lastRenderedPageBreak/>
              <w:t>(Протеин</w:t>
            </w:r>
          </w:p>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кг/жител/годи</w:t>
            </w:r>
          </w:p>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
                <w:sz w:val="28"/>
                <w:szCs w:val="28"/>
                <w:lang w:val="mk-MK"/>
              </w:rPr>
              <w:t>на)</w:t>
            </w:r>
          </w:p>
        </w:tc>
        <w:tc>
          <w:tcPr>
            <w:tcW w:w="1625" w:type="dxa"/>
            <w:shd w:val="clear" w:color="auto" w:fill="EAF1DD" w:themeFill="accent3" w:themeFillTint="33"/>
          </w:tcPr>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
                <w:sz w:val="28"/>
                <w:szCs w:val="28"/>
                <w:lang w:val="mk-MK"/>
              </w:rPr>
              <w:t>(број)</w:t>
            </w:r>
          </w:p>
        </w:tc>
        <w:tc>
          <w:tcPr>
            <w:tcW w:w="1610" w:type="dxa"/>
            <w:shd w:val="clear" w:color="auto" w:fill="EAF1DD" w:themeFill="accent3" w:themeFillTint="33"/>
          </w:tcPr>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(кгN/кг</w:t>
            </w:r>
          </w:p>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
                <w:sz w:val="28"/>
                <w:szCs w:val="28"/>
                <w:lang w:val="mk-MK"/>
              </w:rPr>
              <w:t>протеин)</w:t>
            </w:r>
          </w:p>
        </w:tc>
        <w:tc>
          <w:tcPr>
            <w:tcW w:w="1728" w:type="dxa"/>
            <w:shd w:val="clear" w:color="auto" w:fill="EAF1DD" w:themeFill="accent3" w:themeFillTint="33"/>
          </w:tcPr>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
                <w:sz w:val="28"/>
                <w:szCs w:val="28"/>
                <w:lang w:val="mk-MK"/>
              </w:rPr>
              <w:t>(кг N/год)</w:t>
            </w:r>
          </w:p>
        </w:tc>
        <w:tc>
          <w:tcPr>
            <w:tcW w:w="1630" w:type="dxa"/>
            <w:shd w:val="clear" w:color="auto" w:fill="EAF1DD" w:themeFill="accent3" w:themeFillTint="33"/>
          </w:tcPr>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EF6 (кг N2ON/</w:t>
            </w:r>
          </w:p>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
                <w:sz w:val="28"/>
                <w:szCs w:val="28"/>
                <w:lang w:val="mk-MK"/>
              </w:rPr>
              <w:t>кг канал.-N)</w:t>
            </w:r>
          </w:p>
        </w:tc>
        <w:tc>
          <w:tcPr>
            <w:tcW w:w="1599" w:type="dxa"/>
            <w:shd w:val="clear" w:color="auto" w:fill="76923C" w:themeFill="accent3" w:themeFillShade="BF"/>
          </w:tcPr>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Bold"/>
                <w:b/>
                <w:bCs/>
                <w:sz w:val="28"/>
                <w:szCs w:val="28"/>
                <w:lang w:val="mk-MK"/>
              </w:rPr>
              <w:t>тони</w:t>
            </w:r>
          </w:p>
        </w:tc>
      </w:tr>
      <w:tr w:rsidR="00D02F72" w:rsidRPr="00D02F72" w:rsidTr="00A07853">
        <w:tc>
          <w:tcPr>
            <w:tcW w:w="1662"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27,92</w:t>
            </w:r>
          </w:p>
        </w:tc>
        <w:tc>
          <w:tcPr>
            <w:tcW w:w="1625"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8707</w:t>
            </w:r>
          </w:p>
        </w:tc>
        <w:tc>
          <w:tcPr>
            <w:tcW w:w="1610"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0,16</w:t>
            </w:r>
          </w:p>
        </w:tc>
        <w:tc>
          <w:tcPr>
            <w:tcW w:w="1728"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24122,88</w:t>
            </w:r>
          </w:p>
        </w:tc>
        <w:tc>
          <w:tcPr>
            <w:tcW w:w="1630"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0,01</w:t>
            </w:r>
          </w:p>
        </w:tc>
        <w:tc>
          <w:tcPr>
            <w:tcW w:w="1599" w:type="dxa"/>
            <w:shd w:val="clear" w:color="auto" w:fill="76923C" w:themeFill="accent3" w:themeFillShade="BF"/>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0,61</w:t>
            </w:r>
          </w:p>
        </w:tc>
      </w:tr>
    </w:tbl>
    <w:p w:rsidR="00D02F72" w:rsidRPr="00D02F72" w:rsidRDefault="00D02F72" w:rsidP="00D02F72">
      <w:pPr>
        <w:spacing w:line="300" w:lineRule="exact"/>
        <w:jc w:val="both"/>
        <w:rPr>
          <w:rFonts w:ascii="Arial" w:eastAsia="Calibri" w:hAnsi="Arial" w:cs="Arial"/>
          <w:lang w:val="mk-MK"/>
        </w:rPr>
      </w:pP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Емисиите на диазотоксид изнесуваат 0,61 тони за 2012 година. Земајќи го предвид потенцијалот на глобално затоплување на азотниот оксид, произлегува дека емисиите пресметани како CO2-екв. изнесуваат 189,1 тони CO2-екв.</w:t>
      </w:r>
    </w:p>
    <w:p w:rsidR="00D02F72" w:rsidRPr="00D02F72" w:rsidRDefault="00D02F72" w:rsidP="00D02F72">
      <w:pPr>
        <w:keepNext/>
        <w:numPr>
          <w:ilvl w:val="2"/>
          <w:numId w:val="0"/>
        </w:numPr>
        <w:tabs>
          <w:tab w:val="left" w:pos="1134"/>
        </w:tabs>
        <w:spacing w:before="400" w:line="300" w:lineRule="exact"/>
        <w:ind w:left="1134" w:hanging="1134"/>
        <w:outlineLvl w:val="2"/>
        <w:rPr>
          <w:rFonts w:ascii="Arial Black" w:hAnsi="Arial Black" w:cs="Times New Roman"/>
          <w:b/>
          <w:bCs/>
          <w:color w:val="4F6228"/>
          <w:lang w:val="mk-MK" w:eastAsia="en-GB"/>
        </w:rPr>
      </w:pPr>
      <w:bookmarkStart w:id="32" w:name="_Toc382344120"/>
      <w:r w:rsidRPr="00D02F72">
        <w:rPr>
          <w:rFonts w:ascii="Arial Black" w:hAnsi="Arial Black" w:cs="Times New Roman"/>
          <w:b/>
          <w:bCs/>
          <w:color w:val="4F6228"/>
          <w:lang w:val="mk-MK" w:eastAsia="en-GB"/>
        </w:rPr>
        <w:t>Отпечаток на стакленички гасови за општина Богданци</w:t>
      </w:r>
      <w:bookmarkEnd w:id="32"/>
    </w:p>
    <w:p w:rsidR="00D02F72" w:rsidRPr="00D02F72" w:rsidRDefault="00D02F72" w:rsidP="00D02F72">
      <w:pPr>
        <w:keepNext/>
        <w:numPr>
          <w:ilvl w:val="3"/>
          <w:numId w:val="0"/>
        </w:numPr>
        <w:spacing w:before="200" w:line="300" w:lineRule="exact"/>
        <w:ind w:left="1134" w:hanging="1134"/>
        <w:outlineLvl w:val="3"/>
        <w:rPr>
          <w:rFonts w:ascii="Arial" w:hAnsi="Arial" w:cs="Arial"/>
          <w:bCs/>
          <w:color w:val="4F6228"/>
          <w:lang w:val="mk-MK"/>
          <w14:textFill>
            <w14:solidFill>
              <w14:srgbClr w14:val="4F6228">
                <w14:lumMod w14:val="50000"/>
              </w14:srgbClr>
            </w14:solidFill>
          </w14:textFill>
        </w:rPr>
      </w:pPr>
      <w:r w:rsidRPr="00D02F72">
        <w:rPr>
          <w:rFonts w:ascii="Arial" w:hAnsi="Arial" w:cs="Arial"/>
          <w:bCs/>
          <w:color w:val="4F6228"/>
          <w:lang w:val="mk-MK"/>
          <w14:textFill>
            <w14:solidFill>
              <w14:srgbClr w14:val="4F6228">
                <w14:lumMod w14:val="50000"/>
              </w14:srgbClr>
            </w14:solidFill>
          </w14:textFill>
        </w:rPr>
        <w:t>Енергетика</w:t>
      </w:r>
    </w:p>
    <w:p w:rsidR="00D02F72" w:rsidRPr="00D02F72" w:rsidRDefault="00D02F72" w:rsidP="00D02F72">
      <w:pPr>
        <w:autoSpaceDE w:val="0"/>
        <w:autoSpaceDN w:val="0"/>
        <w:adjustRightInd w:val="0"/>
        <w:spacing w:after="120"/>
        <w:jc w:val="both"/>
        <w:rPr>
          <w:rFonts w:ascii="Arial Narrow" w:hAnsi="Arial Narrow" w:cs="DejaVuSans"/>
          <w:b/>
          <w:sz w:val="28"/>
          <w:szCs w:val="28"/>
          <w:lang w:val="mk-MK"/>
        </w:rPr>
      </w:pPr>
      <w:r w:rsidRPr="00D02F72">
        <w:rPr>
          <w:rFonts w:ascii="Arial Narrow" w:hAnsi="Arial Narrow" w:cs="DejaVuSans"/>
          <w:sz w:val="28"/>
          <w:szCs w:val="28"/>
          <w:lang w:val="mk-MK"/>
        </w:rPr>
        <w:t>Во инвентаризацијата на стакленичките гасови во една област, обично</w:t>
      </w:r>
      <w:r w:rsidRPr="00D02F72">
        <w:rPr>
          <w:rFonts w:ascii="Arial Narrow" w:hAnsi="Arial Narrow" w:cs="DejaVuSans"/>
          <w:b/>
          <w:sz w:val="28"/>
          <w:szCs w:val="28"/>
          <w:lang w:val="mk-MK"/>
        </w:rPr>
        <w:t xml:space="preserve"> </w:t>
      </w:r>
      <w:r w:rsidRPr="00D02F72">
        <w:rPr>
          <w:rFonts w:ascii="Arial Narrow" w:hAnsi="Arial Narrow" w:cs="DejaVuSans"/>
          <w:sz w:val="28"/>
          <w:szCs w:val="28"/>
          <w:lang w:val="mk-MK"/>
        </w:rPr>
        <w:t>влегуваат оние гасови кои се испуштиле при производство на некој</w:t>
      </w:r>
      <w:r w:rsidRPr="00D02F72">
        <w:rPr>
          <w:rFonts w:ascii="Arial Narrow" w:hAnsi="Arial Narrow" w:cs="DejaVuSans"/>
          <w:b/>
          <w:sz w:val="28"/>
          <w:szCs w:val="28"/>
          <w:lang w:val="mk-MK"/>
        </w:rPr>
        <w:t xml:space="preserve"> </w:t>
      </w:r>
      <w:r w:rsidRPr="00D02F72">
        <w:rPr>
          <w:rFonts w:ascii="Arial Narrow" w:hAnsi="Arial Narrow" w:cs="DejaVuSans"/>
          <w:sz w:val="28"/>
          <w:szCs w:val="28"/>
          <w:lang w:val="mk-MK"/>
        </w:rPr>
        <w:t>продукт во границите на таа област. Во општина Богданци не се</w:t>
      </w:r>
      <w:r w:rsidRPr="00D02F72">
        <w:rPr>
          <w:rFonts w:ascii="Arial Narrow" w:hAnsi="Arial Narrow" w:cs="DejaVuSans"/>
          <w:b/>
          <w:sz w:val="28"/>
          <w:szCs w:val="28"/>
          <w:lang w:val="mk-MK"/>
        </w:rPr>
        <w:t xml:space="preserve"> </w:t>
      </w:r>
      <w:r w:rsidRPr="00D02F72">
        <w:rPr>
          <w:rFonts w:ascii="Arial Narrow" w:hAnsi="Arial Narrow" w:cs="DejaVuSans"/>
          <w:sz w:val="28"/>
          <w:szCs w:val="28"/>
          <w:lang w:val="mk-MK"/>
        </w:rPr>
        <w:t>произведува електрична енергија од која директно можеме да пресметаме</w:t>
      </w:r>
      <w:r w:rsidRPr="00D02F72">
        <w:rPr>
          <w:rFonts w:ascii="Arial Narrow" w:hAnsi="Arial Narrow" w:cs="DejaVuSans"/>
          <w:b/>
          <w:sz w:val="28"/>
          <w:szCs w:val="28"/>
          <w:lang w:val="mk-MK"/>
        </w:rPr>
        <w:t xml:space="preserve"> </w:t>
      </w:r>
      <w:r w:rsidRPr="00D02F72">
        <w:rPr>
          <w:rFonts w:ascii="Arial Narrow" w:hAnsi="Arial Narrow" w:cs="DejaVuSans"/>
          <w:sz w:val="28"/>
          <w:szCs w:val="28"/>
          <w:lang w:val="mk-MK"/>
        </w:rPr>
        <w:t>емисии. Поради оваа причина емисиите на стакленички гасови од секторот</w:t>
      </w:r>
      <w:r w:rsidRPr="00D02F72">
        <w:rPr>
          <w:rFonts w:ascii="Arial Narrow" w:hAnsi="Arial Narrow" w:cs="DejaVuSans"/>
          <w:b/>
          <w:sz w:val="28"/>
          <w:szCs w:val="28"/>
          <w:lang w:val="mk-MK"/>
        </w:rPr>
        <w:t xml:space="preserve"> </w:t>
      </w:r>
      <w:r w:rsidRPr="00D02F72">
        <w:rPr>
          <w:rFonts w:ascii="Arial Narrow" w:hAnsi="Arial Narrow" w:cs="DejaVuSans"/>
          <w:sz w:val="28"/>
          <w:szCs w:val="28"/>
          <w:lang w:val="mk-MK"/>
        </w:rPr>
        <w:t>енергетика ќе се пресметаат како дел од националните емисии како</w:t>
      </w:r>
      <w:r w:rsidRPr="00D02F72">
        <w:rPr>
          <w:rFonts w:ascii="Arial Narrow" w:hAnsi="Arial Narrow" w:cs="DejaVuSans"/>
          <w:b/>
          <w:sz w:val="28"/>
          <w:szCs w:val="28"/>
          <w:lang w:val="mk-MK"/>
        </w:rPr>
        <w:t xml:space="preserve"> </w:t>
      </w:r>
      <w:r w:rsidRPr="00D02F72">
        <w:rPr>
          <w:rFonts w:ascii="Arial Narrow" w:hAnsi="Arial Narrow" w:cs="DejaVuSans"/>
          <w:sz w:val="28"/>
          <w:szCs w:val="28"/>
          <w:lang w:val="mk-MK"/>
        </w:rPr>
        <w:t>резултат на потрошувачката на електрична енергија и горива во</w:t>
      </w:r>
      <w:r w:rsidRPr="00D02F72">
        <w:rPr>
          <w:rFonts w:ascii="Arial Narrow" w:hAnsi="Arial Narrow" w:cs="DejaVuSans"/>
          <w:b/>
          <w:sz w:val="28"/>
          <w:szCs w:val="28"/>
          <w:lang w:val="mk-MK"/>
        </w:rPr>
        <w:t xml:space="preserve"> </w:t>
      </w:r>
      <w:r w:rsidRPr="00D02F72">
        <w:rPr>
          <w:rFonts w:ascii="Arial Narrow" w:hAnsi="Arial Narrow" w:cs="DejaVuSans"/>
          <w:sz w:val="28"/>
          <w:szCs w:val="28"/>
          <w:lang w:val="mk-MK"/>
        </w:rPr>
        <w:t>општината.</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 xml:space="preserve">Енергетската инфраструктура на Република Македонија овозможува експлоатација на домашната примарна енергија, увоз и извоз на примарна енергија, преработка на примарната енергија и производство на финална енергија, транспорт и дистрибуција на енергијата. Македонија спаѓа во земјите со изразено ниска потрошувачка на енергија по жител и со изразено висока потрошувачка на енергија и посебно на електричната енергија по единица БДП. Енергетската инфраструктура на Република Македонија ja сочинуваат електроенергетскиот сектор, секторите за јаглен, за нафта и нафтени продукти, за природен гас и за производство на топлина. Податоците превземени од Меѓународната Агенција за Енергетика укажуваат дека на ниво на Република Македонија, за еден произведен kWh електрична енергија се емитуваат 797 g CO2. Додека пак, според податоците од националниот инвентар на стакленички гасови на Република Македонија за производство на електрична енергија, поделени со вкупното производство на енергија во државата од сите типови на извори, се добива индикативна бројка од 993 g CO2 –екв, за секој произведен kWh електрична енергија. Оваа бројка се користи за пресметување на отпечатокот на стакленички </w:t>
      </w:r>
      <w:r w:rsidRPr="00D02F72">
        <w:rPr>
          <w:rFonts w:ascii="Arial Narrow" w:hAnsi="Arial Narrow" w:cs="DejaVuSans"/>
          <w:sz w:val="28"/>
          <w:szCs w:val="28"/>
          <w:lang w:val="mk-MK"/>
        </w:rPr>
        <w:lastRenderedPageBreak/>
        <w:t>гасови за општина Богданци, односно колкави се емисиите кои резултираат од потрошувачката на електрична енергија на ниво на општината.</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Во Табела 41 се дадени податоци за начинот на загревање на домаќинствата во општината. Евидентно е дека поголемиот дел, повеќе од 95% од домаќинствата, се греат на дрва (биомаса). Биомасата потрошена за производство на топлинска енергија не влегува во нето вредноста на емисиите на стакленички гасови, бидејќи се смета како обновлив извор на енергија. Најголемиот дел од остатокот на населението се грее на електрична енергија, чии емисии се пресметани преку потрошувачката на струја по домаќинство, дадена воТабела 15.</w:t>
      </w:r>
    </w:p>
    <w:p w:rsidR="00D02F72" w:rsidRPr="00D02F72" w:rsidRDefault="00D02F72" w:rsidP="00D02F72">
      <w:pPr>
        <w:keepNext/>
        <w:tabs>
          <w:tab w:val="left" w:pos="1701"/>
        </w:tabs>
        <w:spacing w:before="120" w:after="120" w:line="240" w:lineRule="auto"/>
        <w:ind w:left="1701" w:right="567" w:hanging="1134"/>
        <w:rPr>
          <w:rFonts w:ascii="StobiSerifIt Regular" w:hAnsi="StobiSerifIt Regular"/>
          <w:b/>
          <w:i/>
          <w:color w:val="4F6228" w:themeColor="accent3" w:themeShade="80"/>
          <w:sz w:val="32"/>
          <w:szCs w:val="32"/>
          <w:lang w:val="mk-MK" w:eastAsia="en-GB"/>
        </w:rPr>
      </w:pPr>
      <w:r w:rsidRPr="00D02F72">
        <w:rPr>
          <w:rFonts w:ascii="StobiSerifIt Regular" w:hAnsi="StobiSerifIt Regular"/>
          <w:i/>
          <w:color w:val="4F6228" w:themeColor="accent3" w:themeShade="80"/>
          <w:lang w:val="mk-MK" w:eastAsia="en-GB"/>
        </w:rPr>
        <w:t>Начин на загревање на домаќинствата во општина Богданци</w:t>
      </w:r>
    </w:p>
    <w:tbl>
      <w:tblPr>
        <w:tblStyle w:val="TableGrid"/>
        <w:tblW w:w="0" w:type="auto"/>
        <w:tblLook w:val="04A0" w:firstRow="1" w:lastRow="0" w:firstColumn="1" w:lastColumn="0" w:noHBand="0" w:noVBand="1"/>
      </w:tblPr>
      <w:tblGrid>
        <w:gridCol w:w="1323"/>
        <w:gridCol w:w="1728"/>
        <w:gridCol w:w="1279"/>
        <w:gridCol w:w="1055"/>
        <w:gridCol w:w="920"/>
        <w:gridCol w:w="1071"/>
        <w:gridCol w:w="1100"/>
        <w:gridCol w:w="1100"/>
      </w:tblGrid>
      <w:tr w:rsidR="00D02F72" w:rsidRPr="00D02F72" w:rsidTr="00A07853">
        <w:tc>
          <w:tcPr>
            <w:tcW w:w="1323" w:type="dxa"/>
            <w:vMerge w:val="restart"/>
            <w:shd w:val="clear" w:color="auto" w:fill="D6E3BC" w:themeFill="accent3" w:themeFillTint="66"/>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Вкупно</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домаќинс</w:t>
            </w:r>
          </w:p>
          <w:p w:rsidR="00D02F72" w:rsidRPr="00D02F72" w:rsidRDefault="00D02F72" w:rsidP="00D02F72">
            <w:pPr>
              <w:autoSpaceDE w:val="0"/>
              <w:autoSpaceDN w:val="0"/>
              <w:adjustRightInd w:val="0"/>
              <w:spacing w:after="120"/>
              <w:jc w:val="center"/>
              <w:rPr>
                <w:rFonts w:ascii="Arial Narrow" w:hAnsi="Arial Narrow" w:cs="DejaVuSans"/>
                <w:b/>
                <w:sz w:val="28"/>
                <w:szCs w:val="28"/>
                <w:lang w:val="mk-MK"/>
              </w:rPr>
            </w:pPr>
            <w:r w:rsidRPr="00D02F72">
              <w:rPr>
                <w:rFonts w:ascii="Arial Narrow" w:hAnsi="Arial Narrow" w:cs="DejaVuSans-Bold"/>
                <w:b/>
                <w:bCs/>
                <w:sz w:val="28"/>
                <w:szCs w:val="28"/>
                <w:lang w:val="mk-MK"/>
              </w:rPr>
              <w:t>тва</w:t>
            </w:r>
          </w:p>
        </w:tc>
        <w:tc>
          <w:tcPr>
            <w:tcW w:w="8531" w:type="dxa"/>
            <w:gridSpan w:val="7"/>
            <w:shd w:val="clear" w:color="auto" w:fill="D6E3BC" w:themeFill="accent3" w:themeFillTint="66"/>
          </w:tcPr>
          <w:p w:rsidR="00D02F72" w:rsidRPr="00D02F72" w:rsidRDefault="00D02F72" w:rsidP="00D02F72">
            <w:pPr>
              <w:tabs>
                <w:tab w:val="left" w:pos="1328"/>
              </w:tabs>
              <w:autoSpaceDE w:val="0"/>
              <w:autoSpaceDN w:val="0"/>
              <w:adjustRightInd w:val="0"/>
              <w:spacing w:after="120"/>
              <w:jc w:val="center"/>
              <w:rPr>
                <w:rFonts w:ascii="Arial Narrow" w:hAnsi="Arial Narrow" w:cs="DejaVuSans"/>
                <w:b/>
                <w:sz w:val="28"/>
                <w:szCs w:val="28"/>
                <w:lang w:val="mk-MK"/>
              </w:rPr>
            </w:pPr>
            <w:r w:rsidRPr="00D02F72">
              <w:rPr>
                <w:rFonts w:ascii="Arial Narrow" w:hAnsi="Arial Narrow" w:cs="DejaVuSans-Bold"/>
                <w:b/>
                <w:bCs/>
                <w:sz w:val="28"/>
                <w:szCs w:val="28"/>
                <w:lang w:val="mk-MK"/>
              </w:rPr>
              <w:t>Начин на загревање</w:t>
            </w:r>
          </w:p>
        </w:tc>
      </w:tr>
      <w:tr w:rsidR="00D02F72" w:rsidRPr="00D02F72" w:rsidTr="00A07853">
        <w:tc>
          <w:tcPr>
            <w:tcW w:w="1323" w:type="dxa"/>
            <w:vMerge/>
          </w:tcPr>
          <w:p w:rsidR="00D02F72" w:rsidRPr="00D02F72" w:rsidRDefault="00D02F72" w:rsidP="00D02F72">
            <w:pPr>
              <w:autoSpaceDE w:val="0"/>
              <w:autoSpaceDN w:val="0"/>
              <w:adjustRightInd w:val="0"/>
              <w:spacing w:after="120"/>
              <w:jc w:val="center"/>
              <w:rPr>
                <w:rFonts w:ascii="Arial Narrow" w:hAnsi="Arial Narrow" w:cs="DejaVuSans"/>
                <w:b/>
                <w:sz w:val="28"/>
                <w:szCs w:val="28"/>
                <w:lang w:val="mk-MK"/>
              </w:rPr>
            </w:pPr>
          </w:p>
        </w:tc>
        <w:tc>
          <w:tcPr>
            <w:tcW w:w="1728" w:type="dxa"/>
            <w:vMerge w:val="restart"/>
            <w:shd w:val="clear" w:color="auto" w:fill="EAF1DD" w:themeFill="accent3" w:themeFillTint="33"/>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Централно парно</w:t>
            </w:r>
          </w:p>
          <w:p w:rsidR="00D02F72" w:rsidRPr="00D02F72" w:rsidRDefault="00D02F72" w:rsidP="00D02F72">
            <w:pPr>
              <w:autoSpaceDE w:val="0"/>
              <w:autoSpaceDN w:val="0"/>
              <w:adjustRightInd w:val="0"/>
              <w:spacing w:after="120"/>
              <w:jc w:val="center"/>
              <w:rPr>
                <w:rFonts w:ascii="Arial Narrow" w:hAnsi="Arial Narrow" w:cs="DejaVuSans"/>
                <w:b/>
                <w:sz w:val="28"/>
                <w:szCs w:val="28"/>
                <w:lang w:val="mk-MK"/>
              </w:rPr>
            </w:pPr>
            <w:r w:rsidRPr="00D02F72">
              <w:rPr>
                <w:rFonts w:ascii="Arial Narrow" w:hAnsi="Arial Narrow" w:cs="DejaVuSans-Bold"/>
                <w:b/>
                <w:bCs/>
                <w:sz w:val="28"/>
                <w:szCs w:val="28"/>
                <w:lang w:val="mk-MK"/>
              </w:rPr>
              <w:t>греење</w:t>
            </w:r>
          </w:p>
        </w:tc>
        <w:tc>
          <w:tcPr>
            <w:tcW w:w="5663" w:type="dxa"/>
            <w:gridSpan w:val="5"/>
            <w:shd w:val="clear" w:color="auto" w:fill="EAF1DD" w:themeFill="accent3" w:themeFillTint="33"/>
          </w:tcPr>
          <w:p w:rsidR="00D02F72" w:rsidRPr="00D02F72" w:rsidRDefault="00D02F72" w:rsidP="00D02F72">
            <w:pPr>
              <w:tabs>
                <w:tab w:val="left" w:pos="1889"/>
              </w:tabs>
              <w:autoSpaceDE w:val="0"/>
              <w:autoSpaceDN w:val="0"/>
              <w:adjustRightInd w:val="0"/>
              <w:spacing w:after="120"/>
              <w:jc w:val="center"/>
              <w:rPr>
                <w:rFonts w:ascii="Arial Narrow" w:hAnsi="Arial Narrow" w:cs="DejaVuSans"/>
                <w:b/>
                <w:sz w:val="28"/>
                <w:szCs w:val="28"/>
                <w:lang w:val="mk-MK"/>
              </w:rPr>
            </w:pPr>
            <w:r w:rsidRPr="00D02F72">
              <w:rPr>
                <w:rFonts w:ascii="Arial Narrow" w:hAnsi="Arial Narrow" w:cs="DejaVuSans-Bold"/>
                <w:b/>
                <w:bCs/>
                <w:sz w:val="28"/>
                <w:szCs w:val="28"/>
                <w:lang w:val="mk-MK"/>
              </w:rPr>
              <w:t>Индивидуално централно греење</w:t>
            </w:r>
          </w:p>
        </w:tc>
        <w:tc>
          <w:tcPr>
            <w:tcW w:w="1140" w:type="dxa"/>
            <w:vMerge w:val="restart"/>
          </w:tcPr>
          <w:p w:rsidR="00D02F72" w:rsidRPr="00D02F72" w:rsidRDefault="00D02F72" w:rsidP="00D02F72">
            <w:pPr>
              <w:autoSpaceDE w:val="0"/>
              <w:autoSpaceDN w:val="0"/>
              <w:adjustRightInd w:val="0"/>
              <w:spacing w:after="120"/>
              <w:jc w:val="both"/>
              <w:rPr>
                <w:rFonts w:ascii="Arial Narrow" w:hAnsi="Arial Narrow" w:cs="DejaVuSans"/>
                <w:b/>
                <w:sz w:val="28"/>
                <w:szCs w:val="28"/>
                <w:lang w:val="mk-MK"/>
              </w:rPr>
            </w:pPr>
          </w:p>
        </w:tc>
      </w:tr>
      <w:tr w:rsidR="00D02F72" w:rsidRPr="00D02F72" w:rsidTr="00A07853">
        <w:tc>
          <w:tcPr>
            <w:tcW w:w="1323" w:type="dxa"/>
            <w:vMerge/>
          </w:tcPr>
          <w:p w:rsidR="00D02F72" w:rsidRPr="00D02F72" w:rsidRDefault="00D02F72" w:rsidP="00D02F72">
            <w:pPr>
              <w:autoSpaceDE w:val="0"/>
              <w:autoSpaceDN w:val="0"/>
              <w:adjustRightInd w:val="0"/>
              <w:spacing w:after="120"/>
              <w:jc w:val="center"/>
              <w:rPr>
                <w:rFonts w:ascii="Arial Narrow" w:hAnsi="Arial Narrow" w:cs="DejaVuSans"/>
                <w:b/>
                <w:sz w:val="28"/>
                <w:szCs w:val="28"/>
                <w:lang w:val="mk-MK"/>
              </w:rPr>
            </w:pPr>
          </w:p>
        </w:tc>
        <w:tc>
          <w:tcPr>
            <w:tcW w:w="1728" w:type="dxa"/>
            <w:vMerge/>
            <w:shd w:val="clear" w:color="auto" w:fill="EAF1DD" w:themeFill="accent3" w:themeFillTint="33"/>
          </w:tcPr>
          <w:p w:rsidR="00D02F72" w:rsidRPr="00D02F72" w:rsidRDefault="00D02F72" w:rsidP="00D02F72">
            <w:pPr>
              <w:autoSpaceDE w:val="0"/>
              <w:autoSpaceDN w:val="0"/>
              <w:adjustRightInd w:val="0"/>
              <w:spacing w:after="120"/>
              <w:jc w:val="center"/>
              <w:rPr>
                <w:rFonts w:ascii="Arial Narrow" w:hAnsi="Arial Narrow" w:cs="DejaVuSans"/>
                <w:b/>
                <w:sz w:val="28"/>
                <w:szCs w:val="28"/>
                <w:lang w:val="mk-MK"/>
              </w:rPr>
            </w:pPr>
          </w:p>
        </w:tc>
        <w:tc>
          <w:tcPr>
            <w:tcW w:w="1279" w:type="dxa"/>
            <w:shd w:val="clear" w:color="auto" w:fill="EAF1DD" w:themeFill="accent3" w:themeFillTint="33"/>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Ел.струја</w:t>
            </w:r>
          </w:p>
        </w:tc>
        <w:tc>
          <w:tcPr>
            <w:tcW w:w="1109" w:type="dxa"/>
            <w:shd w:val="clear" w:color="auto" w:fill="EAF1DD" w:themeFill="accent3" w:themeFillTint="33"/>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Јаглен</w:t>
            </w:r>
          </w:p>
        </w:tc>
        <w:tc>
          <w:tcPr>
            <w:tcW w:w="1015" w:type="dxa"/>
            <w:shd w:val="clear" w:color="auto" w:fill="EAF1DD" w:themeFill="accent3" w:themeFillTint="33"/>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Дрва</w:t>
            </w:r>
          </w:p>
        </w:tc>
        <w:tc>
          <w:tcPr>
            <w:tcW w:w="1120" w:type="dxa"/>
            <w:shd w:val="clear" w:color="auto" w:fill="EAF1DD" w:themeFill="accent3" w:themeFillTint="33"/>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Течни</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горива</w:t>
            </w:r>
          </w:p>
        </w:tc>
        <w:tc>
          <w:tcPr>
            <w:tcW w:w="1140" w:type="dxa"/>
            <w:shd w:val="clear" w:color="auto" w:fill="EAF1DD" w:themeFill="accent3" w:themeFillTint="33"/>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Др.</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Горива</w:t>
            </w:r>
          </w:p>
        </w:tc>
        <w:tc>
          <w:tcPr>
            <w:tcW w:w="1140" w:type="dxa"/>
            <w:vMerge/>
          </w:tcPr>
          <w:p w:rsidR="00D02F72" w:rsidRPr="00D02F72" w:rsidRDefault="00D02F72" w:rsidP="00D02F72">
            <w:pPr>
              <w:autoSpaceDE w:val="0"/>
              <w:autoSpaceDN w:val="0"/>
              <w:adjustRightInd w:val="0"/>
              <w:spacing w:after="120"/>
              <w:jc w:val="both"/>
              <w:rPr>
                <w:rFonts w:ascii="Arial Narrow" w:hAnsi="Arial Narrow" w:cs="DejaVuSans"/>
                <w:b/>
                <w:sz w:val="28"/>
                <w:szCs w:val="28"/>
                <w:lang w:val="mk-MK"/>
              </w:rPr>
            </w:pPr>
          </w:p>
        </w:tc>
      </w:tr>
      <w:tr w:rsidR="00D02F72" w:rsidRPr="00D02F72" w:rsidTr="00A07853">
        <w:tc>
          <w:tcPr>
            <w:tcW w:w="1323"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2597</w:t>
            </w:r>
          </w:p>
        </w:tc>
        <w:tc>
          <w:tcPr>
            <w:tcW w:w="1728"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p>
        </w:tc>
        <w:tc>
          <w:tcPr>
            <w:tcW w:w="1279"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23</w:t>
            </w:r>
          </w:p>
        </w:tc>
        <w:tc>
          <w:tcPr>
            <w:tcW w:w="1109"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p>
        </w:tc>
        <w:tc>
          <w:tcPr>
            <w:tcW w:w="1015"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15</w:t>
            </w:r>
          </w:p>
        </w:tc>
        <w:tc>
          <w:tcPr>
            <w:tcW w:w="1120"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22</w:t>
            </w:r>
          </w:p>
        </w:tc>
        <w:tc>
          <w:tcPr>
            <w:tcW w:w="1140" w:type="dxa"/>
          </w:tcPr>
          <w:p w:rsidR="00D02F72" w:rsidRPr="00D02F72" w:rsidRDefault="00D02F72" w:rsidP="00D02F72">
            <w:pPr>
              <w:autoSpaceDE w:val="0"/>
              <w:autoSpaceDN w:val="0"/>
              <w:adjustRightInd w:val="0"/>
              <w:spacing w:after="120"/>
              <w:jc w:val="both"/>
              <w:rPr>
                <w:rFonts w:ascii="Arial Narrow" w:hAnsi="Arial Narrow" w:cs="DejaVuSans"/>
                <w:b/>
                <w:sz w:val="28"/>
                <w:szCs w:val="28"/>
                <w:lang w:val="mk-MK"/>
              </w:rPr>
            </w:pPr>
          </w:p>
        </w:tc>
        <w:tc>
          <w:tcPr>
            <w:tcW w:w="1140" w:type="dxa"/>
            <w:vMerge/>
          </w:tcPr>
          <w:p w:rsidR="00D02F72" w:rsidRPr="00D02F72" w:rsidRDefault="00D02F72" w:rsidP="00D02F72">
            <w:pPr>
              <w:autoSpaceDE w:val="0"/>
              <w:autoSpaceDN w:val="0"/>
              <w:adjustRightInd w:val="0"/>
              <w:spacing w:after="120"/>
              <w:jc w:val="both"/>
              <w:rPr>
                <w:rFonts w:ascii="Arial Narrow" w:hAnsi="Arial Narrow" w:cs="DejaVuSans"/>
                <w:b/>
                <w:sz w:val="28"/>
                <w:szCs w:val="28"/>
                <w:lang w:val="mk-MK"/>
              </w:rPr>
            </w:pPr>
          </w:p>
        </w:tc>
      </w:tr>
      <w:tr w:rsidR="00D02F72" w:rsidRPr="00D02F72" w:rsidTr="00A07853">
        <w:tc>
          <w:tcPr>
            <w:tcW w:w="1323" w:type="dxa"/>
            <w:vMerge w:val="restart"/>
          </w:tcPr>
          <w:p w:rsidR="00D02F72" w:rsidRPr="00D02F72" w:rsidRDefault="00D02F72" w:rsidP="00D02F72">
            <w:pPr>
              <w:autoSpaceDE w:val="0"/>
              <w:autoSpaceDN w:val="0"/>
              <w:adjustRightInd w:val="0"/>
              <w:spacing w:after="120"/>
              <w:jc w:val="both"/>
              <w:rPr>
                <w:rFonts w:ascii="Arial Narrow" w:hAnsi="Arial Narrow" w:cs="DejaVuSans"/>
                <w:b/>
                <w:sz w:val="28"/>
                <w:szCs w:val="28"/>
                <w:lang w:val="mk-MK"/>
              </w:rPr>
            </w:pPr>
          </w:p>
        </w:tc>
        <w:tc>
          <w:tcPr>
            <w:tcW w:w="1728" w:type="dxa"/>
            <w:shd w:val="clear" w:color="auto" w:fill="EAF1DD" w:themeFill="accent3" w:themeFillTint="33"/>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Друг</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начин на</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затоплување</w:t>
            </w:r>
          </w:p>
        </w:tc>
        <w:tc>
          <w:tcPr>
            <w:tcW w:w="6803" w:type="dxa"/>
            <w:gridSpan w:val="6"/>
            <w:shd w:val="clear" w:color="auto" w:fill="EAF1DD" w:themeFill="accent3" w:themeFillTint="33"/>
          </w:tcPr>
          <w:p w:rsidR="00D02F72" w:rsidRPr="00D02F72" w:rsidRDefault="00D02F72" w:rsidP="00D02F72">
            <w:pPr>
              <w:tabs>
                <w:tab w:val="left" w:pos="1833"/>
              </w:tabs>
              <w:autoSpaceDE w:val="0"/>
              <w:autoSpaceDN w:val="0"/>
              <w:adjustRightInd w:val="0"/>
              <w:spacing w:after="120"/>
              <w:jc w:val="center"/>
              <w:rPr>
                <w:rFonts w:ascii="Arial Narrow" w:hAnsi="Arial Narrow" w:cs="DejaVuSans"/>
                <w:b/>
                <w:sz w:val="28"/>
                <w:szCs w:val="28"/>
                <w:lang w:val="mk-MK"/>
              </w:rPr>
            </w:pPr>
            <w:r w:rsidRPr="00D02F72">
              <w:rPr>
                <w:rFonts w:ascii="Arial Narrow" w:hAnsi="Arial Narrow" w:cs="DejaVuSans-Bold"/>
                <w:b/>
                <w:bCs/>
                <w:sz w:val="28"/>
                <w:szCs w:val="28"/>
                <w:lang w:val="mk-MK"/>
              </w:rPr>
              <w:t>Греење на печка</w:t>
            </w:r>
          </w:p>
        </w:tc>
      </w:tr>
      <w:tr w:rsidR="00D02F72" w:rsidRPr="00D02F72" w:rsidTr="00A07853">
        <w:tc>
          <w:tcPr>
            <w:tcW w:w="1323" w:type="dxa"/>
            <w:vMerge/>
          </w:tcPr>
          <w:p w:rsidR="00D02F72" w:rsidRPr="00D02F72" w:rsidRDefault="00D02F72" w:rsidP="00D02F72">
            <w:pPr>
              <w:autoSpaceDE w:val="0"/>
              <w:autoSpaceDN w:val="0"/>
              <w:adjustRightInd w:val="0"/>
              <w:spacing w:after="120"/>
              <w:jc w:val="both"/>
              <w:rPr>
                <w:rFonts w:ascii="Arial Narrow" w:hAnsi="Arial Narrow" w:cs="DejaVuSans"/>
                <w:b/>
                <w:sz w:val="28"/>
                <w:szCs w:val="28"/>
                <w:lang w:val="mk-MK"/>
              </w:rPr>
            </w:pPr>
          </w:p>
        </w:tc>
        <w:tc>
          <w:tcPr>
            <w:tcW w:w="1728" w:type="dxa"/>
            <w:shd w:val="clear" w:color="auto" w:fill="EAF1DD" w:themeFill="accent3" w:themeFillTint="33"/>
          </w:tcPr>
          <w:p w:rsidR="00D02F72" w:rsidRPr="00D02F72" w:rsidRDefault="00D02F72" w:rsidP="00D02F72">
            <w:pPr>
              <w:autoSpaceDE w:val="0"/>
              <w:autoSpaceDN w:val="0"/>
              <w:adjustRightInd w:val="0"/>
              <w:spacing w:after="120"/>
              <w:jc w:val="center"/>
              <w:rPr>
                <w:rFonts w:ascii="Arial Narrow" w:hAnsi="Arial Narrow" w:cs="DejaVuSans"/>
                <w:b/>
                <w:sz w:val="28"/>
                <w:szCs w:val="28"/>
                <w:lang w:val="mk-MK"/>
              </w:rPr>
            </w:pPr>
          </w:p>
        </w:tc>
        <w:tc>
          <w:tcPr>
            <w:tcW w:w="1279" w:type="dxa"/>
            <w:shd w:val="clear" w:color="auto" w:fill="EAF1DD" w:themeFill="accent3" w:themeFillTint="33"/>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Ел.струја</w:t>
            </w:r>
          </w:p>
        </w:tc>
        <w:tc>
          <w:tcPr>
            <w:tcW w:w="1109" w:type="dxa"/>
            <w:shd w:val="clear" w:color="auto" w:fill="EAF1DD" w:themeFill="accent3" w:themeFillTint="33"/>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Јаглен</w:t>
            </w:r>
          </w:p>
        </w:tc>
        <w:tc>
          <w:tcPr>
            <w:tcW w:w="1015" w:type="dxa"/>
            <w:shd w:val="clear" w:color="auto" w:fill="EAF1DD" w:themeFill="accent3" w:themeFillTint="33"/>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Дрва</w:t>
            </w:r>
          </w:p>
        </w:tc>
        <w:tc>
          <w:tcPr>
            <w:tcW w:w="1120" w:type="dxa"/>
            <w:shd w:val="clear" w:color="auto" w:fill="EAF1DD" w:themeFill="accent3" w:themeFillTint="33"/>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Течни</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горива</w:t>
            </w:r>
          </w:p>
        </w:tc>
        <w:tc>
          <w:tcPr>
            <w:tcW w:w="1140" w:type="dxa"/>
            <w:shd w:val="clear" w:color="auto" w:fill="EAF1DD" w:themeFill="accent3" w:themeFillTint="33"/>
          </w:tcPr>
          <w:p w:rsidR="00D02F72" w:rsidRPr="00D02F72" w:rsidRDefault="00D02F72" w:rsidP="00D02F72">
            <w:pPr>
              <w:autoSpaceDE w:val="0"/>
              <w:autoSpaceDN w:val="0"/>
              <w:adjustRightInd w:val="0"/>
              <w:spacing w:after="120"/>
              <w:jc w:val="center"/>
              <w:rPr>
                <w:rFonts w:ascii="Arial Narrow" w:hAnsi="Arial Narrow" w:cs="DejaVuSans"/>
                <w:b/>
                <w:sz w:val="28"/>
                <w:szCs w:val="28"/>
                <w:lang w:val="mk-MK"/>
              </w:rPr>
            </w:pPr>
            <w:r w:rsidRPr="00D02F72">
              <w:rPr>
                <w:rFonts w:ascii="Arial Narrow" w:hAnsi="Arial Narrow" w:cs="DejaVuSans-Bold"/>
                <w:b/>
                <w:bCs/>
                <w:sz w:val="28"/>
                <w:szCs w:val="28"/>
                <w:lang w:val="mk-MK"/>
              </w:rPr>
              <w:t>Гас</w:t>
            </w:r>
          </w:p>
        </w:tc>
        <w:tc>
          <w:tcPr>
            <w:tcW w:w="1140" w:type="dxa"/>
            <w:shd w:val="clear" w:color="auto" w:fill="EAF1DD" w:themeFill="accent3" w:themeFillTint="33"/>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Др.</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Горива</w:t>
            </w:r>
          </w:p>
        </w:tc>
      </w:tr>
      <w:tr w:rsidR="00D02F72" w:rsidRPr="00D02F72" w:rsidTr="00A07853">
        <w:tc>
          <w:tcPr>
            <w:tcW w:w="1323" w:type="dxa"/>
            <w:vMerge/>
          </w:tcPr>
          <w:p w:rsidR="00D02F72" w:rsidRPr="00D02F72" w:rsidRDefault="00D02F72" w:rsidP="00D02F72">
            <w:pPr>
              <w:autoSpaceDE w:val="0"/>
              <w:autoSpaceDN w:val="0"/>
              <w:adjustRightInd w:val="0"/>
              <w:spacing w:after="120"/>
              <w:jc w:val="both"/>
              <w:rPr>
                <w:rFonts w:ascii="Arial Narrow" w:hAnsi="Arial Narrow" w:cs="DejaVuSans"/>
                <w:b/>
                <w:sz w:val="28"/>
                <w:szCs w:val="28"/>
                <w:lang w:val="mk-MK"/>
              </w:rPr>
            </w:pPr>
          </w:p>
        </w:tc>
        <w:tc>
          <w:tcPr>
            <w:tcW w:w="1728"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194</w:t>
            </w:r>
          </w:p>
        </w:tc>
        <w:tc>
          <w:tcPr>
            <w:tcW w:w="1279"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2</w:t>
            </w:r>
          </w:p>
        </w:tc>
        <w:tc>
          <w:tcPr>
            <w:tcW w:w="1109"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2332</w:t>
            </w:r>
          </w:p>
        </w:tc>
        <w:tc>
          <w:tcPr>
            <w:tcW w:w="1015"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8</w:t>
            </w:r>
          </w:p>
        </w:tc>
        <w:tc>
          <w:tcPr>
            <w:tcW w:w="1120"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p>
        </w:tc>
        <w:tc>
          <w:tcPr>
            <w:tcW w:w="1140"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p>
        </w:tc>
        <w:tc>
          <w:tcPr>
            <w:tcW w:w="1140"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w:t>
            </w:r>
          </w:p>
        </w:tc>
      </w:tr>
    </w:tbl>
    <w:p w:rsidR="00D02F72" w:rsidRPr="00D02F72" w:rsidRDefault="00D02F72" w:rsidP="00D02F72">
      <w:pPr>
        <w:spacing w:line="300" w:lineRule="exact"/>
        <w:jc w:val="both"/>
        <w:rPr>
          <w:rFonts w:ascii="Arial" w:eastAsia="Calibri" w:hAnsi="Arial" w:cs="Arial"/>
          <w:lang w:val="mk-MK"/>
        </w:rPr>
      </w:pPr>
    </w:p>
    <w:p w:rsidR="00D02F72" w:rsidRPr="00D02F72" w:rsidRDefault="00D02F72" w:rsidP="00D02F72">
      <w:pPr>
        <w:autoSpaceDE w:val="0"/>
        <w:autoSpaceDN w:val="0"/>
        <w:adjustRightInd w:val="0"/>
        <w:spacing w:after="120"/>
        <w:jc w:val="both"/>
        <w:rPr>
          <w:rFonts w:ascii="Arial Narrow" w:hAnsi="Arial Narrow" w:cs="DejaVuSans"/>
          <w:lang w:val="mk-MK"/>
        </w:rPr>
      </w:pPr>
      <w:r w:rsidRPr="00D02F72">
        <w:rPr>
          <w:rFonts w:ascii="Arial Narrow" w:hAnsi="Arial Narrow" w:cs="DejaVuSans"/>
          <w:sz w:val="28"/>
          <w:szCs w:val="28"/>
          <w:lang w:val="mk-MK"/>
        </w:rPr>
        <w:t>Ратата на активност, односно потрошувачката на електрична енергија, е добиена преку соработка со работните групи во општината и е прикажана во Табела 42. и Табела 43</w:t>
      </w:r>
      <w:r w:rsidRPr="00D02F72">
        <w:rPr>
          <w:rFonts w:ascii="Arial Narrow" w:hAnsi="Arial Narrow" w:cs="DejaVuSans"/>
          <w:lang w:val="mk-MK"/>
        </w:rPr>
        <w:t>.</w:t>
      </w:r>
    </w:p>
    <w:p w:rsidR="00D02F72" w:rsidRPr="00D02F72" w:rsidRDefault="00D02F72" w:rsidP="00D02F72">
      <w:pPr>
        <w:keepNext/>
        <w:tabs>
          <w:tab w:val="left" w:pos="1701"/>
        </w:tabs>
        <w:spacing w:before="120" w:after="120" w:line="240" w:lineRule="auto"/>
        <w:ind w:left="1701" w:right="567" w:hanging="1134"/>
        <w:rPr>
          <w:rFonts w:ascii="StobiSerifIt Regular" w:hAnsi="StobiSerifIt Regular"/>
          <w:i/>
          <w:color w:val="4F6228" w:themeColor="accent3" w:themeShade="80"/>
          <w:sz w:val="28"/>
          <w:szCs w:val="28"/>
          <w:lang w:val="mk-MK" w:eastAsia="en-GB"/>
        </w:rPr>
      </w:pPr>
      <w:r w:rsidRPr="00D02F72">
        <w:rPr>
          <w:rFonts w:ascii="StobiSerifIt Regular" w:hAnsi="StobiSerifIt Regular"/>
          <w:i/>
          <w:color w:val="4F6228" w:themeColor="accent3" w:themeShade="80"/>
          <w:lang w:val="mk-MK" w:eastAsia="en-GB"/>
        </w:rPr>
        <w:t>Број на објекти, просечна површина и просечна дневна потрошувачка на електрична енергија во Општина Богданци</w:t>
      </w:r>
    </w:p>
    <w:tbl>
      <w:tblPr>
        <w:tblStyle w:val="TableGrid"/>
        <w:tblW w:w="0" w:type="auto"/>
        <w:tblLook w:val="04A0" w:firstRow="1" w:lastRow="0" w:firstColumn="1" w:lastColumn="0" w:noHBand="0" w:noVBand="1"/>
      </w:tblPr>
      <w:tblGrid>
        <w:gridCol w:w="2584"/>
        <w:gridCol w:w="1259"/>
        <w:gridCol w:w="1908"/>
        <w:gridCol w:w="1926"/>
        <w:gridCol w:w="1899"/>
      </w:tblGrid>
      <w:tr w:rsidR="00D02F72" w:rsidRPr="00D02F72" w:rsidTr="00A07853">
        <w:tc>
          <w:tcPr>
            <w:tcW w:w="2660" w:type="dxa"/>
            <w:shd w:val="clear" w:color="auto" w:fill="C2D69B" w:themeFill="accent3" w:themeFillTint="99"/>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Згради, објекти</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или група на</w:t>
            </w:r>
          </w:p>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Bold"/>
                <w:b/>
                <w:bCs/>
                <w:sz w:val="28"/>
                <w:szCs w:val="28"/>
                <w:lang w:val="mk-MK"/>
              </w:rPr>
              <w:t>објекти</w:t>
            </w:r>
          </w:p>
        </w:tc>
        <w:tc>
          <w:tcPr>
            <w:tcW w:w="1281" w:type="dxa"/>
            <w:shd w:val="clear" w:color="auto" w:fill="C2D69B" w:themeFill="accent3" w:themeFillTint="99"/>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Број на објекти</w:t>
            </w:r>
          </w:p>
        </w:tc>
        <w:tc>
          <w:tcPr>
            <w:tcW w:w="1971" w:type="dxa"/>
            <w:shd w:val="clear" w:color="auto" w:fill="C2D69B" w:themeFill="accent3" w:themeFillTint="99"/>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Просечно</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Часови на ден</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во кој се</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троши ел. енергија</w:t>
            </w:r>
          </w:p>
        </w:tc>
        <w:tc>
          <w:tcPr>
            <w:tcW w:w="1971" w:type="dxa"/>
            <w:shd w:val="clear" w:color="auto" w:fill="C2D69B" w:themeFill="accent3" w:themeFillTint="99"/>
          </w:tcPr>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Просечно</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вкупно</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користење на</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ел.енергија во</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една година</w:t>
            </w:r>
          </w:p>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Bold"/>
                <w:b/>
                <w:bCs/>
                <w:sz w:val="28"/>
                <w:szCs w:val="28"/>
                <w:lang w:val="mk-MK"/>
              </w:rPr>
              <w:t>(МWh)</w:t>
            </w:r>
          </w:p>
        </w:tc>
        <w:tc>
          <w:tcPr>
            <w:tcW w:w="1971" w:type="dxa"/>
            <w:shd w:val="clear" w:color="auto" w:fill="C2D69B" w:themeFill="accent3" w:themeFillTint="99"/>
          </w:tcPr>
          <w:p w:rsidR="00D02F72" w:rsidRPr="00D02F72" w:rsidRDefault="00D02F72" w:rsidP="00D02F72">
            <w:pPr>
              <w:autoSpaceDE w:val="0"/>
              <w:autoSpaceDN w:val="0"/>
              <w:adjustRightInd w:val="0"/>
              <w:jc w:val="center"/>
              <w:rPr>
                <w:rFonts w:ascii="Arial Narrow" w:hAnsi="Arial Narrow" w:cs="DejaVuSans-Bold"/>
                <w:b/>
                <w:bCs/>
                <w:color w:val="0000FF"/>
                <w:sz w:val="28"/>
                <w:szCs w:val="28"/>
                <w:lang w:val="mk-MK"/>
              </w:rPr>
            </w:pPr>
          </w:p>
          <w:p w:rsidR="00D02F72" w:rsidRPr="00D02F72" w:rsidRDefault="00D02F72" w:rsidP="00D02F72">
            <w:pPr>
              <w:autoSpaceDE w:val="0"/>
              <w:autoSpaceDN w:val="0"/>
              <w:adjustRightInd w:val="0"/>
              <w:jc w:val="center"/>
              <w:rPr>
                <w:rFonts w:ascii="Arial Narrow" w:hAnsi="Arial Narrow" w:cs="DejaVuSans-Bold"/>
                <w:b/>
                <w:bCs/>
                <w:color w:val="0000FF"/>
                <w:sz w:val="28"/>
                <w:szCs w:val="28"/>
                <w:lang w:val="mk-MK"/>
              </w:rPr>
            </w:pP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Емисии</w:t>
            </w:r>
          </w:p>
          <w:p w:rsidR="00D02F72" w:rsidRPr="00D02F72" w:rsidRDefault="00D02F72" w:rsidP="00D02F72">
            <w:pPr>
              <w:autoSpaceDE w:val="0"/>
              <w:autoSpaceDN w:val="0"/>
              <w:adjustRightInd w:val="0"/>
              <w:jc w:val="center"/>
              <w:rPr>
                <w:rFonts w:ascii="Arial Narrow" w:hAnsi="Arial Narrow" w:cs="DejaVuSans-Bold"/>
                <w:b/>
                <w:bCs/>
                <w:sz w:val="28"/>
                <w:szCs w:val="28"/>
                <w:lang w:val="mk-MK"/>
              </w:rPr>
            </w:pPr>
            <w:r w:rsidRPr="00D02F72">
              <w:rPr>
                <w:rFonts w:ascii="Arial Narrow" w:hAnsi="Arial Narrow" w:cs="DejaVuSans-Bold"/>
                <w:b/>
                <w:bCs/>
                <w:sz w:val="28"/>
                <w:szCs w:val="28"/>
                <w:lang w:val="mk-MK"/>
              </w:rPr>
              <w:t>тони</w:t>
            </w:r>
          </w:p>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Bold"/>
                <w:b/>
                <w:bCs/>
                <w:sz w:val="28"/>
                <w:szCs w:val="28"/>
                <w:lang w:val="mk-MK"/>
              </w:rPr>
              <w:t>CO2-екв</w:t>
            </w:r>
          </w:p>
          <w:p w:rsidR="00D02F72" w:rsidRPr="00D02F72" w:rsidRDefault="00D02F72" w:rsidP="00D02F72">
            <w:pPr>
              <w:jc w:val="center"/>
              <w:rPr>
                <w:rFonts w:ascii="Arial Narrow" w:hAnsi="Arial Narrow" w:cs="DejaVuSans"/>
                <w:sz w:val="28"/>
                <w:szCs w:val="28"/>
                <w:lang w:val="mk-MK"/>
              </w:rPr>
            </w:pPr>
          </w:p>
        </w:tc>
      </w:tr>
      <w:tr w:rsidR="00D02F72" w:rsidRPr="00D02F72" w:rsidTr="00A07853">
        <w:tc>
          <w:tcPr>
            <w:tcW w:w="2660" w:type="dxa"/>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 xml:space="preserve">Станови само за </w:t>
            </w:r>
            <w:r w:rsidRPr="00D02F72">
              <w:rPr>
                <w:rFonts w:ascii="Arial Narrow" w:hAnsi="Arial Narrow" w:cs="DejaVuSans"/>
                <w:sz w:val="28"/>
                <w:szCs w:val="28"/>
                <w:lang w:val="mk-MK"/>
              </w:rPr>
              <w:lastRenderedPageBreak/>
              <w:t>живеење</w:t>
            </w:r>
          </w:p>
        </w:tc>
        <w:tc>
          <w:tcPr>
            <w:tcW w:w="128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lastRenderedPageBreak/>
              <w:t>2650</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16</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13.541,50</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13.446,71</w:t>
            </w:r>
          </w:p>
        </w:tc>
      </w:tr>
      <w:tr w:rsidR="00D02F72" w:rsidRPr="00D02F72" w:rsidTr="00A07853">
        <w:tc>
          <w:tcPr>
            <w:tcW w:w="2660" w:type="dxa"/>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lastRenderedPageBreak/>
              <w:t>Станови за живеење и</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вршење дејност</w:t>
            </w:r>
          </w:p>
        </w:tc>
        <w:tc>
          <w:tcPr>
            <w:tcW w:w="128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12</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16</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61,32</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60,89</w:t>
            </w:r>
          </w:p>
        </w:tc>
      </w:tr>
      <w:tr w:rsidR="00D02F72" w:rsidRPr="00D02F72" w:rsidTr="00A07853">
        <w:tc>
          <w:tcPr>
            <w:tcW w:w="2660" w:type="dxa"/>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Станови само за вршење дејност</w:t>
            </w:r>
          </w:p>
        </w:tc>
        <w:tc>
          <w:tcPr>
            <w:tcW w:w="128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3</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8</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15,33</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15,22</w:t>
            </w:r>
          </w:p>
        </w:tc>
      </w:tr>
      <w:tr w:rsidR="00D02F72" w:rsidRPr="00D02F72" w:rsidTr="00A07853">
        <w:tc>
          <w:tcPr>
            <w:tcW w:w="2660" w:type="dxa"/>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Ненаселени станови</w:t>
            </w:r>
          </w:p>
        </w:tc>
        <w:tc>
          <w:tcPr>
            <w:tcW w:w="128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285</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0</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208,05</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206,59</w:t>
            </w:r>
          </w:p>
        </w:tc>
      </w:tr>
      <w:tr w:rsidR="00D02F72" w:rsidRPr="00D02F72" w:rsidTr="00A07853">
        <w:tc>
          <w:tcPr>
            <w:tcW w:w="2660" w:type="dxa"/>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Станови во викенд кука за одмор и</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рекреација</w:t>
            </w:r>
          </w:p>
        </w:tc>
        <w:tc>
          <w:tcPr>
            <w:tcW w:w="128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11</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4</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32,12</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31,90</w:t>
            </w:r>
          </w:p>
        </w:tc>
      </w:tr>
      <w:tr w:rsidR="00D02F72" w:rsidRPr="00D02F72" w:rsidTr="00A07853">
        <w:tc>
          <w:tcPr>
            <w:tcW w:w="2660" w:type="dxa"/>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Станови во семејна кука за одмор и рекреација</w:t>
            </w:r>
          </w:p>
        </w:tc>
        <w:tc>
          <w:tcPr>
            <w:tcW w:w="128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35</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4</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127,75</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126,86</w:t>
            </w:r>
          </w:p>
        </w:tc>
      </w:tr>
      <w:tr w:rsidR="00D02F72" w:rsidRPr="00D02F72" w:rsidTr="00A07853">
        <w:tc>
          <w:tcPr>
            <w:tcW w:w="2660" w:type="dxa"/>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Станови за време на сезонски работи во</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земјоделството</w:t>
            </w:r>
          </w:p>
        </w:tc>
        <w:tc>
          <w:tcPr>
            <w:tcW w:w="128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6</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8</w:t>
            </w:r>
          </w:p>
        </w:tc>
        <w:tc>
          <w:tcPr>
            <w:tcW w:w="1971" w:type="dxa"/>
          </w:tcPr>
          <w:p w:rsidR="00D02F72" w:rsidRPr="00D02F72" w:rsidRDefault="00D02F72" w:rsidP="00D02F72">
            <w:pPr>
              <w:jc w:val="right"/>
              <w:rPr>
                <w:rFonts w:ascii="Arial Narrow" w:hAnsi="Arial Narrow" w:cs="DejaVuSans"/>
                <w:sz w:val="28"/>
                <w:szCs w:val="28"/>
                <w:lang w:val="mk-MK"/>
              </w:rPr>
            </w:pPr>
            <w:r w:rsidRPr="00D02F72">
              <w:rPr>
                <w:rFonts w:ascii="Arial Narrow" w:hAnsi="Arial Narrow" w:cs="DejaVuSans"/>
                <w:sz w:val="28"/>
                <w:szCs w:val="28"/>
                <w:lang w:val="mk-MK"/>
              </w:rPr>
              <w:t>17,52</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17,40</w:t>
            </w:r>
          </w:p>
        </w:tc>
      </w:tr>
      <w:tr w:rsidR="00D02F72" w:rsidRPr="00D02F72" w:rsidTr="00A07853">
        <w:tc>
          <w:tcPr>
            <w:tcW w:w="2660" w:type="dxa"/>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Училишта и градинки</w:t>
            </w:r>
          </w:p>
        </w:tc>
        <w:tc>
          <w:tcPr>
            <w:tcW w:w="128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4</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16</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175,20</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173,97</w:t>
            </w:r>
          </w:p>
        </w:tc>
      </w:tr>
      <w:tr w:rsidR="00D02F72" w:rsidRPr="00D02F72" w:rsidTr="00A07853">
        <w:tc>
          <w:tcPr>
            <w:tcW w:w="2660" w:type="dxa"/>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Јавни објекти</w:t>
            </w:r>
          </w:p>
        </w:tc>
        <w:tc>
          <w:tcPr>
            <w:tcW w:w="128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5</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16</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73,00</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72,49</w:t>
            </w:r>
          </w:p>
        </w:tc>
      </w:tr>
      <w:tr w:rsidR="00D02F72" w:rsidRPr="00D02F72" w:rsidTr="00A07853">
        <w:tc>
          <w:tcPr>
            <w:tcW w:w="2660" w:type="dxa"/>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Друго</w:t>
            </w:r>
          </w:p>
        </w:tc>
        <w:tc>
          <w:tcPr>
            <w:tcW w:w="128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9</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18</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1.314,00</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1.304,80</w:t>
            </w:r>
          </w:p>
        </w:tc>
      </w:tr>
    </w:tbl>
    <w:p w:rsidR="00D02F72" w:rsidRPr="00D02F72" w:rsidRDefault="00D02F72" w:rsidP="00D02F72">
      <w:pPr>
        <w:keepNext/>
        <w:tabs>
          <w:tab w:val="left" w:pos="1701"/>
        </w:tabs>
        <w:spacing w:before="120" w:after="120" w:line="240" w:lineRule="auto"/>
        <w:ind w:left="1701" w:right="567" w:hanging="1134"/>
        <w:rPr>
          <w:rFonts w:ascii="StobiSerifIt Regular" w:hAnsi="StobiSerifIt Regular"/>
          <w:i/>
          <w:color w:val="4F6228" w:themeColor="accent3" w:themeShade="80"/>
          <w:sz w:val="28"/>
          <w:szCs w:val="28"/>
          <w:lang w:val="mk-MK" w:eastAsia="en-GB"/>
        </w:rPr>
      </w:pPr>
      <w:r w:rsidRPr="00D02F72">
        <w:rPr>
          <w:rFonts w:ascii="StobiSerifIt Regular" w:hAnsi="StobiSerifIt Regular"/>
          <w:i/>
          <w:color w:val="4F6228" w:themeColor="accent3" w:themeShade="80"/>
          <w:lang w:val="mk-MK" w:eastAsia="en-GB"/>
        </w:rPr>
        <w:t>Преглед на улично осветлување во Општина Богданци</w:t>
      </w:r>
    </w:p>
    <w:tbl>
      <w:tblPr>
        <w:tblStyle w:val="TableGrid"/>
        <w:tblW w:w="0" w:type="auto"/>
        <w:tblLook w:val="04A0" w:firstRow="1" w:lastRow="0" w:firstColumn="1" w:lastColumn="0" w:noHBand="0" w:noVBand="1"/>
      </w:tblPr>
      <w:tblGrid>
        <w:gridCol w:w="2307"/>
        <w:gridCol w:w="1533"/>
        <w:gridCol w:w="1894"/>
        <w:gridCol w:w="1921"/>
        <w:gridCol w:w="1921"/>
      </w:tblGrid>
      <w:tr w:rsidR="00D02F72" w:rsidRPr="00D02F72" w:rsidTr="00A07853">
        <w:tc>
          <w:tcPr>
            <w:tcW w:w="2376" w:type="dxa"/>
            <w:shd w:val="clear" w:color="auto" w:fill="C2D69B" w:themeFill="accent3" w:themeFillTint="99"/>
          </w:tcPr>
          <w:p w:rsidR="00D02F72" w:rsidRPr="00D02F72" w:rsidRDefault="00D02F72" w:rsidP="00D02F72">
            <w:pPr>
              <w:autoSpaceDE w:val="0"/>
              <w:autoSpaceDN w:val="0"/>
              <w:adjustRightInd w:val="0"/>
              <w:rPr>
                <w:rFonts w:ascii="Arial Narrow" w:hAnsi="Arial Narrow" w:cs="DejaVuSans-Bold"/>
                <w:b/>
                <w:bCs/>
                <w:sz w:val="28"/>
                <w:szCs w:val="28"/>
                <w:lang w:val="mk-MK"/>
              </w:rPr>
            </w:pPr>
            <w:r w:rsidRPr="00D02F72">
              <w:rPr>
                <w:rFonts w:ascii="Arial Narrow" w:hAnsi="Arial Narrow" w:cs="DejaVuSans-Bold"/>
                <w:b/>
                <w:bCs/>
                <w:sz w:val="28"/>
                <w:szCs w:val="28"/>
                <w:lang w:val="mk-MK"/>
              </w:rPr>
              <w:t>Тип на</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Bold"/>
                <w:b/>
                <w:bCs/>
                <w:sz w:val="28"/>
                <w:szCs w:val="28"/>
                <w:lang w:val="mk-MK"/>
              </w:rPr>
              <w:t>осветлување</w:t>
            </w:r>
          </w:p>
        </w:tc>
        <w:tc>
          <w:tcPr>
            <w:tcW w:w="1565" w:type="dxa"/>
            <w:shd w:val="clear" w:color="auto" w:fill="C2D69B" w:themeFill="accent3" w:themeFillTint="99"/>
          </w:tcPr>
          <w:p w:rsidR="00D02F72" w:rsidRPr="00D02F72" w:rsidRDefault="00D02F72" w:rsidP="00D02F72">
            <w:pPr>
              <w:autoSpaceDE w:val="0"/>
              <w:autoSpaceDN w:val="0"/>
              <w:adjustRightInd w:val="0"/>
              <w:rPr>
                <w:rFonts w:ascii="Arial Narrow" w:hAnsi="Arial Narrow" w:cs="DejaVuSans-Bold"/>
                <w:b/>
                <w:bCs/>
                <w:sz w:val="28"/>
                <w:szCs w:val="28"/>
                <w:lang w:val="mk-MK"/>
              </w:rPr>
            </w:pPr>
            <w:r w:rsidRPr="00D02F72">
              <w:rPr>
                <w:rFonts w:ascii="Arial Narrow" w:hAnsi="Arial Narrow" w:cs="DejaVuSans-Bold"/>
                <w:b/>
                <w:bCs/>
                <w:sz w:val="28"/>
                <w:szCs w:val="28"/>
                <w:lang w:val="mk-MK"/>
              </w:rPr>
              <w:t>Број на</w:t>
            </w:r>
          </w:p>
          <w:p w:rsidR="00D02F72" w:rsidRPr="00D02F72" w:rsidRDefault="00D02F72" w:rsidP="00D02F72">
            <w:pPr>
              <w:autoSpaceDE w:val="0"/>
              <w:autoSpaceDN w:val="0"/>
              <w:adjustRightInd w:val="0"/>
              <w:rPr>
                <w:rFonts w:ascii="Arial Narrow" w:hAnsi="Arial Narrow" w:cs="DejaVuSans-Bold"/>
                <w:b/>
                <w:bCs/>
                <w:sz w:val="28"/>
                <w:szCs w:val="28"/>
                <w:lang w:val="mk-MK"/>
              </w:rPr>
            </w:pPr>
            <w:r w:rsidRPr="00D02F72">
              <w:rPr>
                <w:rFonts w:ascii="Arial Narrow" w:hAnsi="Arial Narrow" w:cs="DejaVuSans-Bold"/>
                <w:b/>
                <w:bCs/>
                <w:sz w:val="28"/>
                <w:szCs w:val="28"/>
                <w:lang w:val="mk-MK"/>
              </w:rPr>
              <w:t>светилки</w:t>
            </w:r>
          </w:p>
        </w:tc>
        <w:tc>
          <w:tcPr>
            <w:tcW w:w="1971" w:type="dxa"/>
            <w:shd w:val="clear" w:color="auto" w:fill="C2D69B" w:themeFill="accent3" w:themeFillTint="99"/>
          </w:tcPr>
          <w:p w:rsidR="00D02F72" w:rsidRPr="00D02F72" w:rsidRDefault="00D02F72" w:rsidP="00D02F72">
            <w:pPr>
              <w:autoSpaceDE w:val="0"/>
              <w:autoSpaceDN w:val="0"/>
              <w:adjustRightInd w:val="0"/>
              <w:rPr>
                <w:rFonts w:ascii="Arial Narrow" w:hAnsi="Arial Narrow" w:cs="DejaVuSans-Bold"/>
                <w:b/>
                <w:bCs/>
                <w:sz w:val="28"/>
                <w:szCs w:val="28"/>
                <w:lang w:val="mk-MK"/>
              </w:rPr>
            </w:pPr>
            <w:r w:rsidRPr="00D02F72">
              <w:rPr>
                <w:rFonts w:ascii="Arial Narrow" w:hAnsi="Arial Narrow" w:cs="DejaVuSans-Bold"/>
                <w:b/>
                <w:bCs/>
                <w:sz w:val="28"/>
                <w:szCs w:val="28"/>
                <w:lang w:val="mk-MK"/>
              </w:rPr>
              <w:t>Моќност на една светилка</w:t>
            </w:r>
          </w:p>
        </w:tc>
        <w:tc>
          <w:tcPr>
            <w:tcW w:w="1971" w:type="dxa"/>
            <w:shd w:val="clear" w:color="auto" w:fill="C2D69B" w:themeFill="accent3" w:themeFillTint="99"/>
          </w:tcPr>
          <w:p w:rsidR="00D02F72" w:rsidRPr="00D02F72" w:rsidRDefault="00D02F72" w:rsidP="00D02F72">
            <w:pPr>
              <w:autoSpaceDE w:val="0"/>
              <w:autoSpaceDN w:val="0"/>
              <w:adjustRightInd w:val="0"/>
              <w:rPr>
                <w:rFonts w:ascii="Arial Narrow" w:hAnsi="Arial Narrow" w:cs="DejaVuSans-Bold"/>
                <w:b/>
                <w:bCs/>
                <w:sz w:val="28"/>
                <w:szCs w:val="28"/>
                <w:lang w:val="mk-MK"/>
              </w:rPr>
            </w:pPr>
            <w:r w:rsidRPr="00D02F72">
              <w:rPr>
                <w:rFonts w:ascii="Arial Narrow" w:hAnsi="Arial Narrow" w:cs="DejaVuSans-Bold"/>
                <w:b/>
                <w:bCs/>
                <w:sz w:val="28"/>
                <w:szCs w:val="28"/>
                <w:lang w:val="mk-MK"/>
              </w:rPr>
              <w:t>Просечен број на часови/ден</w:t>
            </w:r>
          </w:p>
          <w:p w:rsidR="00D02F72" w:rsidRPr="00D02F72" w:rsidRDefault="00D02F72" w:rsidP="00D02F72">
            <w:pPr>
              <w:autoSpaceDE w:val="0"/>
              <w:autoSpaceDN w:val="0"/>
              <w:adjustRightInd w:val="0"/>
              <w:rPr>
                <w:rFonts w:ascii="Arial Narrow" w:hAnsi="Arial Narrow" w:cs="DejaVuSans-Bold"/>
                <w:b/>
                <w:bCs/>
                <w:sz w:val="28"/>
                <w:szCs w:val="28"/>
                <w:lang w:val="mk-MK"/>
              </w:rPr>
            </w:pPr>
            <w:r w:rsidRPr="00D02F72">
              <w:rPr>
                <w:rFonts w:ascii="Arial Narrow" w:hAnsi="Arial Narrow" w:cs="DejaVuSans-Bold"/>
                <w:b/>
                <w:bCs/>
                <w:sz w:val="28"/>
                <w:szCs w:val="28"/>
                <w:lang w:val="mk-MK"/>
              </w:rPr>
              <w:t>во кој се вклучени</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Bold"/>
                <w:b/>
                <w:bCs/>
                <w:sz w:val="28"/>
                <w:szCs w:val="28"/>
                <w:lang w:val="mk-MK"/>
              </w:rPr>
              <w:t>светилките</w:t>
            </w:r>
          </w:p>
        </w:tc>
        <w:tc>
          <w:tcPr>
            <w:tcW w:w="1971" w:type="dxa"/>
            <w:shd w:val="clear" w:color="auto" w:fill="C2D69B" w:themeFill="accent3" w:themeFillTint="99"/>
          </w:tcPr>
          <w:p w:rsidR="00D02F72" w:rsidRPr="00D02F72" w:rsidRDefault="00D02F72" w:rsidP="00D02F72">
            <w:pPr>
              <w:autoSpaceDE w:val="0"/>
              <w:autoSpaceDN w:val="0"/>
              <w:adjustRightInd w:val="0"/>
              <w:rPr>
                <w:rFonts w:ascii="Arial Narrow" w:hAnsi="Arial Narrow" w:cs="DejaVuSans-Bold"/>
                <w:b/>
                <w:bCs/>
                <w:sz w:val="28"/>
                <w:szCs w:val="28"/>
                <w:lang w:val="mk-MK"/>
              </w:rPr>
            </w:pPr>
            <w:r w:rsidRPr="00D02F72">
              <w:rPr>
                <w:rFonts w:ascii="Arial Narrow" w:hAnsi="Arial Narrow" w:cs="DejaVuSans-Bold"/>
                <w:b/>
                <w:bCs/>
                <w:sz w:val="28"/>
                <w:szCs w:val="28"/>
                <w:lang w:val="mk-MK"/>
              </w:rPr>
              <w:t>Број на денови</w:t>
            </w:r>
          </w:p>
          <w:p w:rsidR="00D02F72" w:rsidRPr="00D02F72" w:rsidRDefault="00D02F72" w:rsidP="00D02F72">
            <w:pPr>
              <w:autoSpaceDE w:val="0"/>
              <w:autoSpaceDN w:val="0"/>
              <w:adjustRightInd w:val="0"/>
              <w:rPr>
                <w:rFonts w:ascii="Arial Narrow" w:hAnsi="Arial Narrow" w:cs="DejaVuSans-Bold"/>
                <w:b/>
                <w:bCs/>
                <w:sz w:val="28"/>
                <w:szCs w:val="28"/>
                <w:lang w:val="mk-MK"/>
              </w:rPr>
            </w:pPr>
            <w:r w:rsidRPr="00D02F72">
              <w:rPr>
                <w:rFonts w:ascii="Arial Narrow" w:hAnsi="Arial Narrow" w:cs="DejaVuSans-Bold"/>
                <w:b/>
                <w:bCs/>
                <w:sz w:val="28"/>
                <w:szCs w:val="28"/>
                <w:lang w:val="mk-MK"/>
              </w:rPr>
              <w:t>во година кога се вклучени светилките</w:t>
            </w:r>
          </w:p>
        </w:tc>
      </w:tr>
      <w:tr w:rsidR="00D02F72" w:rsidRPr="00D02F72" w:rsidTr="00A07853">
        <w:tc>
          <w:tcPr>
            <w:tcW w:w="2376" w:type="dxa"/>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Opalo 1N (Sodium)</w:t>
            </w:r>
          </w:p>
        </w:tc>
        <w:tc>
          <w:tcPr>
            <w:tcW w:w="1565"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687</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70</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10</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365</w:t>
            </w:r>
          </w:p>
        </w:tc>
      </w:tr>
      <w:tr w:rsidR="00D02F72" w:rsidRPr="00D02F72" w:rsidTr="00A07853">
        <w:tc>
          <w:tcPr>
            <w:tcW w:w="2376" w:type="dxa"/>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Opalo 3N (Sodium)</w:t>
            </w:r>
          </w:p>
        </w:tc>
        <w:tc>
          <w:tcPr>
            <w:tcW w:w="1565"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22</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150</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10</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366</w:t>
            </w:r>
          </w:p>
        </w:tc>
      </w:tr>
      <w:tr w:rsidR="00D02F72" w:rsidRPr="00D02F72" w:rsidTr="00A07853">
        <w:tc>
          <w:tcPr>
            <w:tcW w:w="2376" w:type="dxa"/>
          </w:tcPr>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K-lux N</w:t>
            </w:r>
          </w:p>
        </w:tc>
        <w:tc>
          <w:tcPr>
            <w:tcW w:w="1565"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22</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100</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10</w:t>
            </w:r>
          </w:p>
        </w:tc>
        <w:tc>
          <w:tcPr>
            <w:tcW w:w="1971"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367</w:t>
            </w:r>
          </w:p>
        </w:tc>
      </w:tr>
    </w:tbl>
    <w:p w:rsidR="00D02F72" w:rsidRPr="00D02F72" w:rsidRDefault="00D02F72" w:rsidP="00D02F72">
      <w:pPr>
        <w:spacing w:line="300" w:lineRule="exact"/>
        <w:jc w:val="both"/>
        <w:rPr>
          <w:rFonts w:ascii="Arial" w:eastAsia="Calibri" w:hAnsi="Arial" w:cs="Arial"/>
          <w:lang w:val="mk-MK"/>
        </w:rPr>
      </w:pPr>
    </w:p>
    <w:p w:rsidR="00D02F72" w:rsidRPr="00D02F72" w:rsidRDefault="00D02F72" w:rsidP="00D02F72">
      <w:pPr>
        <w:autoSpaceDE w:val="0"/>
        <w:autoSpaceDN w:val="0"/>
        <w:adjustRightInd w:val="0"/>
        <w:spacing w:after="0" w:line="240" w:lineRule="auto"/>
        <w:jc w:val="both"/>
        <w:rPr>
          <w:rFonts w:ascii="Arial Narrow" w:hAnsi="Arial Narrow" w:cs="DejaVuSans"/>
          <w:sz w:val="28"/>
          <w:szCs w:val="28"/>
          <w:lang w:val="mk-MK"/>
        </w:rPr>
      </w:pPr>
      <w:r w:rsidRPr="00D02F72">
        <w:rPr>
          <w:rFonts w:ascii="Arial Narrow" w:hAnsi="Arial Narrow" w:cs="DejaVuSans"/>
          <w:sz w:val="28"/>
          <w:szCs w:val="28"/>
          <w:lang w:val="mk-MK"/>
        </w:rPr>
        <w:t>По примената на националниот емисионен фактор, во Општина Богданци се емитуваат 15456,83 тони CO2 –екв од потрошувачка на електрична енергија во приватните домувања, училиштата и јавните згради и 194,23 тони CO2 –екв за напојување на уличното осветлување.</w:t>
      </w:r>
    </w:p>
    <w:p w:rsidR="00D02F72" w:rsidRPr="00D02F72" w:rsidRDefault="00D02F72" w:rsidP="00D02F72">
      <w:pPr>
        <w:keepNext/>
        <w:numPr>
          <w:ilvl w:val="2"/>
          <w:numId w:val="0"/>
        </w:numPr>
        <w:tabs>
          <w:tab w:val="left" w:pos="1134"/>
        </w:tabs>
        <w:spacing w:before="400" w:line="300" w:lineRule="exact"/>
        <w:ind w:left="1134" w:hanging="1134"/>
        <w:outlineLvl w:val="2"/>
        <w:rPr>
          <w:rFonts w:ascii="Arial Black" w:hAnsi="Arial Black" w:cs="Times New Roman"/>
          <w:b/>
          <w:bCs/>
          <w:color w:val="4F6228"/>
          <w:lang w:val="mk-MK" w:eastAsia="en-GB"/>
        </w:rPr>
      </w:pPr>
      <w:bookmarkStart w:id="33" w:name="_Toc382343199"/>
      <w:bookmarkStart w:id="34" w:name="_Toc382343500"/>
      <w:bookmarkStart w:id="35" w:name="_Toc382343812"/>
      <w:bookmarkStart w:id="36" w:name="_Toc382344121"/>
      <w:bookmarkStart w:id="37" w:name="_Toc382344122"/>
      <w:bookmarkEnd w:id="33"/>
      <w:bookmarkEnd w:id="34"/>
      <w:bookmarkEnd w:id="35"/>
      <w:bookmarkEnd w:id="36"/>
      <w:r w:rsidRPr="00D02F72">
        <w:rPr>
          <w:rFonts w:ascii="Arial Black" w:hAnsi="Arial Black" w:cs="Times New Roman"/>
          <w:b/>
          <w:bCs/>
          <w:color w:val="4F6228"/>
          <w:lang w:val="mk-MK" w:eastAsia="en-GB"/>
        </w:rPr>
        <w:lastRenderedPageBreak/>
        <w:t>Заклучок</w:t>
      </w:r>
      <w:bookmarkEnd w:id="37"/>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Емисиите на стакленички гасови во најголем процент, 76,53%, резултираат од секторот енергетика. Втор по големина извор на емисии на стакленички гасови, е секторот отпад , со учество од 12%, додека емисиите од отпадот заземаат 11,47% од општинските емисии.</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Во продолжение е дадена табеларен преглед на емисиите на стакленичките гасови на територијата на Општина Богданци, кои за 2012 година вкупно изнесуваат 28.280,21 тони CO2-екв. Просечните емисии по жител на општина Богданци се помали од просечните национални емисии, а тоа се должи на фактот дека на територијата на општината нема поголеми индустриски капацитети.</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Со овој прв инвентар на стакленички гасови може точно да се локализираат изворите на емисии и да се планираат стратешки мерки за ублажување на емисиите на локално ниво.</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Се препорачува општината во иднина да продолжи со собирање на податоци за емисиите на стакленички гасови, со цел континуирано да се прави ваква инвентаризација со која точно е мерлива ефикасноста на активностите за ублажување на емисиите.</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Постоењето на континуирани следења, ќе овозможи да се направи тренд на емисиите, кој ќе се користи за проектирање на идни сценарија.</w:t>
      </w:r>
    </w:p>
    <w:p w:rsidR="00D02F72" w:rsidRPr="00D02F72" w:rsidRDefault="00D02F72" w:rsidP="00D02F72">
      <w:pPr>
        <w:keepNext/>
        <w:tabs>
          <w:tab w:val="left" w:pos="1701"/>
        </w:tabs>
        <w:spacing w:before="120" w:after="120" w:line="240" w:lineRule="auto"/>
        <w:ind w:left="1701" w:right="567" w:hanging="1134"/>
        <w:rPr>
          <w:rFonts w:ascii="StobiSerifIt Regular" w:hAnsi="StobiSerifIt Regular"/>
          <w:i/>
          <w:color w:val="4F6228" w:themeColor="accent3" w:themeShade="80"/>
          <w:sz w:val="28"/>
          <w:szCs w:val="28"/>
          <w:lang w:val="mk-MK" w:eastAsia="en-GB"/>
        </w:rPr>
      </w:pPr>
      <w:r w:rsidRPr="00D02F72">
        <w:rPr>
          <w:rFonts w:ascii="StobiSerifIt Regular" w:hAnsi="StobiSerifIt Regular"/>
          <w:i/>
          <w:color w:val="4F6228" w:themeColor="accent3" w:themeShade="80"/>
          <w:lang w:val="mk-MK" w:eastAsia="en-GB"/>
        </w:rPr>
        <w:t>Преглед на емисиите на стакленички гасови во Општина Богданци</w:t>
      </w:r>
    </w:p>
    <w:tbl>
      <w:tblPr>
        <w:tblStyle w:val="TableGrid"/>
        <w:tblW w:w="0" w:type="auto"/>
        <w:tblLook w:val="04A0" w:firstRow="1" w:lastRow="0" w:firstColumn="1" w:lastColumn="0" w:noHBand="0" w:noVBand="1"/>
      </w:tblPr>
      <w:tblGrid>
        <w:gridCol w:w="3326"/>
        <w:gridCol w:w="3142"/>
        <w:gridCol w:w="3108"/>
      </w:tblGrid>
      <w:tr w:rsidR="00D02F72" w:rsidRPr="00D02F72" w:rsidTr="00A07853">
        <w:tc>
          <w:tcPr>
            <w:tcW w:w="3326" w:type="dxa"/>
            <w:shd w:val="clear" w:color="auto" w:fill="C2D69B" w:themeFill="accent3" w:themeFillTint="99"/>
          </w:tcPr>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p>
        </w:tc>
        <w:tc>
          <w:tcPr>
            <w:tcW w:w="3266" w:type="dxa"/>
            <w:shd w:val="clear" w:color="auto" w:fill="C2D69B" w:themeFill="accent3" w:themeFillTint="99"/>
          </w:tcPr>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
                <w:sz w:val="28"/>
                <w:szCs w:val="28"/>
                <w:lang w:val="mk-MK"/>
              </w:rPr>
              <w:t>Емисии</w:t>
            </w:r>
          </w:p>
        </w:tc>
        <w:tc>
          <w:tcPr>
            <w:tcW w:w="3262" w:type="dxa"/>
            <w:shd w:val="clear" w:color="auto" w:fill="C2D69B" w:themeFill="accent3" w:themeFillTint="99"/>
          </w:tcPr>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p>
        </w:tc>
      </w:tr>
      <w:tr w:rsidR="00D02F72" w:rsidRPr="00D02F72" w:rsidTr="00A07853">
        <w:tc>
          <w:tcPr>
            <w:tcW w:w="3326" w:type="dxa"/>
            <w:shd w:val="clear" w:color="auto" w:fill="C2D69B" w:themeFill="accent3" w:themeFillTint="99"/>
          </w:tcPr>
          <w:p w:rsidR="00D02F72" w:rsidRPr="00D02F72" w:rsidRDefault="00D02F72" w:rsidP="00D02F72">
            <w:pPr>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
                <w:sz w:val="28"/>
                <w:szCs w:val="28"/>
                <w:lang w:val="mk-MK"/>
              </w:rPr>
              <w:t>Сектор</w:t>
            </w:r>
          </w:p>
        </w:tc>
        <w:tc>
          <w:tcPr>
            <w:tcW w:w="3266" w:type="dxa"/>
            <w:shd w:val="clear" w:color="auto" w:fill="C2D69B" w:themeFill="accent3" w:themeFillTint="99"/>
          </w:tcPr>
          <w:p w:rsidR="00D02F72" w:rsidRPr="00D02F72" w:rsidRDefault="00D02F72" w:rsidP="00D02F72">
            <w:pPr>
              <w:autoSpaceDE w:val="0"/>
              <w:autoSpaceDN w:val="0"/>
              <w:adjustRightInd w:val="0"/>
              <w:jc w:val="center"/>
              <w:rPr>
                <w:rFonts w:ascii="Arial Narrow" w:hAnsi="Arial Narrow" w:cs="DejaVuSans"/>
                <w:sz w:val="28"/>
                <w:szCs w:val="28"/>
                <w:lang w:val="mk-MK"/>
              </w:rPr>
            </w:pPr>
            <w:r w:rsidRPr="00D02F72">
              <w:rPr>
                <w:rFonts w:ascii="Arial Narrow" w:hAnsi="Arial Narrow" w:cs="DejaVuSans"/>
                <w:sz w:val="28"/>
                <w:szCs w:val="28"/>
                <w:lang w:val="mk-MK"/>
              </w:rPr>
              <w:t>CO2-екв/годишно</w:t>
            </w:r>
          </w:p>
        </w:tc>
        <w:tc>
          <w:tcPr>
            <w:tcW w:w="3262" w:type="dxa"/>
            <w:shd w:val="clear" w:color="auto" w:fill="C2D69B" w:themeFill="accent3" w:themeFillTint="99"/>
          </w:tcPr>
          <w:p w:rsidR="00D02F72" w:rsidRPr="00D02F72" w:rsidRDefault="00D02F72" w:rsidP="00D02F72">
            <w:pPr>
              <w:tabs>
                <w:tab w:val="left" w:pos="991"/>
              </w:tabs>
              <w:autoSpaceDE w:val="0"/>
              <w:autoSpaceDN w:val="0"/>
              <w:adjustRightInd w:val="0"/>
              <w:spacing w:after="120"/>
              <w:jc w:val="center"/>
              <w:rPr>
                <w:rFonts w:ascii="Arial Narrow" w:hAnsi="Arial Narrow" w:cs="DejaVuSans"/>
                <w:sz w:val="28"/>
                <w:szCs w:val="28"/>
                <w:lang w:val="mk-MK"/>
              </w:rPr>
            </w:pPr>
            <w:r w:rsidRPr="00D02F72">
              <w:rPr>
                <w:rFonts w:ascii="Arial Narrow" w:hAnsi="Arial Narrow" w:cs="DejaVuSans"/>
                <w:sz w:val="28"/>
                <w:szCs w:val="28"/>
                <w:lang w:val="mk-MK"/>
              </w:rPr>
              <w:t>%</w:t>
            </w:r>
          </w:p>
        </w:tc>
      </w:tr>
      <w:tr w:rsidR="00D02F72" w:rsidRPr="00D02F72" w:rsidTr="00A07853">
        <w:tc>
          <w:tcPr>
            <w:tcW w:w="3326" w:type="dxa"/>
            <w:shd w:val="clear" w:color="auto" w:fill="D6E3BC" w:themeFill="accent3" w:themeFillTint="66"/>
          </w:tcPr>
          <w:p w:rsidR="00D02F72" w:rsidRPr="00D02F72" w:rsidRDefault="00D02F72" w:rsidP="00D02F72">
            <w:pPr>
              <w:autoSpaceDE w:val="0"/>
              <w:autoSpaceDN w:val="0"/>
              <w:adjustRightInd w:val="0"/>
              <w:jc w:val="both"/>
              <w:rPr>
                <w:rFonts w:ascii="Arial Narrow" w:hAnsi="Arial Narrow" w:cs="DejaVuSans"/>
                <w:sz w:val="28"/>
                <w:szCs w:val="28"/>
                <w:lang w:val="mk-MK"/>
              </w:rPr>
            </w:pPr>
            <w:r w:rsidRPr="00D02F72">
              <w:rPr>
                <w:rFonts w:ascii="Arial Narrow" w:hAnsi="Arial Narrow" w:cs="DejaVuSans"/>
                <w:sz w:val="28"/>
                <w:szCs w:val="28"/>
                <w:lang w:val="mk-MK"/>
              </w:rPr>
              <w:t>Енергетика</w:t>
            </w:r>
          </w:p>
        </w:tc>
        <w:tc>
          <w:tcPr>
            <w:tcW w:w="3266"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21.641,94</w:t>
            </w:r>
          </w:p>
        </w:tc>
        <w:tc>
          <w:tcPr>
            <w:tcW w:w="3262" w:type="dxa"/>
            <w:shd w:val="clear" w:color="auto" w:fill="EAF1DD" w:themeFill="accent3" w:themeFillTint="33"/>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76,53%</w:t>
            </w:r>
          </w:p>
        </w:tc>
      </w:tr>
      <w:tr w:rsidR="00D02F72" w:rsidRPr="00D02F72" w:rsidTr="00A07853">
        <w:tc>
          <w:tcPr>
            <w:tcW w:w="3326" w:type="dxa"/>
            <w:shd w:val="clear" w:color="auto" w:fill="D6E3BC" w:themeFill="accent3" w:themeFillTint="66"/>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Напојување со ел. енерг. во приватни домувања</w:t>
            </w:r>
          </w:p>
        </w:tc>
        <w:tc>
          <w:tcPr>
            <w:tcW w:w="3266"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13.905,56</w:t>
            </w:r>
          </w:p>
        </w:tc>
        <w:tc>
          <w:tcPr>
            <w:tcW w:w="3262" w:type="dxa"/>
            <w:shd w:val="clear" w:color="auto" w:fill="EAF1DD" w:themeFill="accent3" w:themeFillTint="33"/>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49,17%</w:t>
            </w:r>
          </w:p>
        </w:tc>
      </w:tr>
      <w:tr w:rsidR="00D02F72" w:rsidRPr="00D02F72" w:rsidTr="00A07853">
        <w:tc>
          <w:tcPr>
            <w:tcW w:w="3326" w:type="dxa"/>
            <w:shd w:val="clear" w:color="auto" w:fill="D6E3BC" w:themeFill="accent3" w:themeFillTint="66"/>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Напојување со ел. енерг. во јавни објекти</w:t>
            </w:r>
          </w:p>
        </w:tc>
        <w:tc>
          <w:tcPr>
            <w:tcW w:w="3266"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246,46</w:t>
            </w:r>
          </w:p>
        </w:tc>
        <w:tc>
          <w:tcPr>
            <w:tcW w:w="3262" w:type="dxa"/>
            <w:shd w:val="clear" w:color="auto" w:fill="EAF1DD" w:themeFill="accent3" w:themeFillTint="33"/>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0,87%</w:t>
            </w:r>
          </w:p>
        </w:tc>
      </w:tr>
      <w:tr w:rsidR="00D02F72" w:rsidRPr="00D02F72" w:rsidTr="00A07853">
        <w:tc>
          <w:tcPr>
            <w:tcW w:w="3326" w:type="dxa"/>
            <w:shd w:val="clear" w:color="auto" w:fill="D6E3BC" w:themeFill="accent3" w:themeFillTint="66"/>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Напојување со ел. енерг. за улично осветлување</w:t>
            </w:r>
          </w:p>
        </w:tc>
        <w:tc>
          <w:tcPr>
            <w:tcW w:w="3266"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194,23</w:t>
            </w:r>
          </w:p>
        </w:tc>
        <w:tc>
          <w:tcPr>
            <w:tcW w:w="3262" w:type="dxa"/>
            <w:shd w:val="clear" w:color="auto" w:fill="EAF1DD" w:themeFill="accent3" w:themeFillTint="33"/>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0,69%</w:t>
            </w:r>
          </w:p>
        </w:tc>
      </w:tr>
      <w:tr w:rsidR="00D02F72" w:rsidRPr="00D02F72" w:rsidTr="00A07853">
        <w:tc>
          <w:tcPr>
            <w:tcW w:w="3326" w:type="dxa"/>
            <w:shd w:val="clear" w:color="auto" w:fill="D6E3BC" w:themeFill="accent3" w:themeFillTint="66"/>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Индустрија и угостителство</w:t>
            </w:r>
          </w:p>
        </w:tc>
        <w:tc>
          <w:tcPr>
            <w:tcW w:w="3266"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1.304,80</w:t>
            </w:r>
          </w:p>
        </w:tc>
        <w:tc>
          <w:tcPr>
            <w:tcW w:w="3262" w:type="dxa"/>
            <w:shd w:val="clear" w:color="auto" w:fill="EAF1DD" w:themeFill="accent3" w:themeFillTint="33"/>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4,61%</w:t>
            </w:r>
          </w:p>
        </w:tc>
      </w:tr>
      <w:tr w:rsidR="00D02F72" w:rsidRPr="00D02F72" w:rsidTr="00A07853">
        <w:tc>
          <w:tcPr>
            <w:tcW w:w="3326" w:type="dxa"/>
            <w:shd w:val="clear" w:color="auto" w:fill="D6E3BC" w:themeFill="accent3" w:themeFillTint="66"/>
          </w:tcPr>
          <w:p w:rsidR="00D02F72" w:rsidRPr="00D02F72" w:rsidRDefault="00D02F72" w:rsidP="00D02F72">
            <w:pPr>
              <w:autoSpaceDE w:val="0"/>
              <w:autoSpaceDN w:val="0"/>
              <w:adjustRightInd w:val="0"/>
              <w:jc w:val="both"/>
              <w:rPr>
                <w:rFonts w:ascii="Arial Narrow" w:hAnsi="Arial Narrow" w:cs="DejaVuSans"/>
                <w:sz w:val="28"/>
                <w:szCs w:val="28"/>
                <w:lang w:val="mk-MK"/>
              </w:rPr>
            </w:pPr>
            <w:r w:rsidRPr="00D02F72">
              <w:rPr>
                <w:rFonts w:ascii="Arial Narrow" w:hAnsi="Arial Narrow" w:cs="DejaVuSans"/>
                <w:sz w:val="28"/>
                <w:szCs w:val="28"/>
                <w:lang w:val="mk-MK"/>
              </w:rPr>
              <w:t>Транспорт</w:t>
            </w:r>
          </w:p>
        </w:tc>
        <w:tc>
          <w:tcPr>
            <w:tcW w:w="3266"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5.990,88</w:t>
            </w:r>
          </w:p>
        </w:tc>
        <w:tc>
          <w:tcPr>
            <w:tcW w:w="3262" w:type="dxa"/>
            <w:shd w:val="clear" w:color="auto" w:fill="EAF1DD" w:themeFill="accent3" w:themeFillTint="33"/>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21,18%</w:t>
            </w:r>
          </w:p>
        </w:tc>
      </w:tr>
      <w:tr w:rsidR="00D02F72" w:rsidRPr="00D02F72" w:rsidTr="00A07853">
        <w:tc>
          <w:tcPr>
            <w:tcW w:w="3326" w:type="dxa"/>
            <w:shd w:val="clear" w:color="auto" w:fill="D6E3BC" w:themeFill="accent3" w:themeFillTint="66"/>
          </w:tcPr>
          <w:p w:rsidR="00D02F72" w:rsidRPr="00D02F72" w:rsidRDefault="00D02F72" w:rsidP="00D02F72">
            <w:pPr>
              <w:autoSpaceDE w:val="0"/>
              <w:autoSpaceDN w:val="0"/>
              <w:adjustRightInd w:val="0"/>
              <w:jc w:val="both"/>
              <w:rPr>
                <w:rFonts w:ascii="Arial Narrow" w:hAnsi="Arial Narrow" w:cs="DejaVuSans"/>
                <w:sz w:val="28"/>
                <w:szCs w:val="28"/>
                <w:lang w:val="mk-MK"/>
              </w:rPr>
            </w:pPr>
            <w:r w:rsidRPr="00D02F72">
              <w:rPr>
                <w:rFonts w:ascii="Arial Narrow" w:hAnsi="Arial Narrow" w:cs="DejaVuSans"/>
                <w:sz w:val="28"/>
                <w:szCs w:val="28"/>
                <w:lang w:val="mk-MK"/>
              </w:rPr>
              <w:t>Земјоделство</w:t>
            </w:r>
          </w:p>
        </w:tc>
        <w:tc>
          <w:tcPr>
            <w:tcW w:w="3266"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3.245,20</w:t>
            </w:r>
          </w:p>
        </w:tc>
        <w:tc>
          <w:tcPr>
            <w:tcW w:w="3262" w:type="dxa"/>
            <w:shd w:val="clear" w:color="auto" w:fill="EAF1DD" w:themeFill="accent3" w:themeFillTint="33"/>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11,48%</w:t>
            </w:r>
          </w:p>
        </w:tc>
      </w:tr>
      <w:tr w:rsidR="00D02F72" w:rsidRPr="00D02F72" w:rsidTr="00A07853">
        <w:tc>
          <w:tcPr>
            <w:tcW w:w="3326" w:type="dxa"/>
            <w:shd w:val="clear" w:color="auto" w:fill="D6E3BC" w:themeFill="accent3" w:themeFillTint="66"/>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lastRenderedPageBreak/>
              <w:t>Емисии на метан од ентерична ферментација</w:t>
            </w:r>
          </w:p>
        </w:tc>
        <w:tc>
          <w:tcPr>
            <w:tcW w:w="3266"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2987,88</w:t>
            </w:r>
          </w:p>
        </w:tc>
        <w:tc>
          <w:tcPr>
            <w:tcW w:w="3262" w:type="dxa"/>
            <w:shd w:val="clear" w:color="auto" w:fill="EAF1DD" w:themeFill="accent3" w:themeFillTint="33"/>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10,57%</w:t>
            </w:r>
          </w:p>
        </w:tc>
      </w:tr>
      <w:tr w:rsidR="00D02F72" w:rsidRPr="00D02F72" w:rsidTr="00A07853">
        <w:tc>
          <w:tcPr>
            <w:tcW w:w="3326" w:type="dxa"/>
            <w:shd w:val="clear" w:color="auto" w:fill="D6E3BC" w:themeFill="accent3" w:themeFillTint="66"/>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Емисии на метан од управување со ѓубрива</w:t>
            </w:r>
          </w:p>
        </w:tc>
        <w:tc>
          <w:tcPr>
            <w:tcW w:w="3266"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237,72</w:t>
            </w:r>
          </w:p>
        </w:tc>
        <w:tc>
          <w:tcPr>
            <w:tcW w:w="3262" w:type="dxa"/>
            <w:shd w:val="clear" w:color="auto" w:fill="EAF1DD" w:themeFill="accent3" w:themeFillTint="33"/>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0,84%</w:t>
            </w:r>
          </w:p>
        </w:tc>
      </w:tr>
      <w:tr w:rsidR="00D02F72" w:rsidRPr="00D02F72" w:rsidTr="00A07853">
        <w:tc>
          <w:tcPr>
            <w:tcW w:w="3326" w:type="dxa"/>
            <w:shd w:val="clear" w:color="auto" w:fill="D6E3BC" w:themeFill="accent3" w:themeFillTint="66"/>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Емисии на стакленички гасови од горење на</w:t>
            </w:r>
          </w:p>
          <w:p w:rsidR="00D02F72" w:rsidRPr="00D02F72" w:rsidRDefault="00D02F72" w:rsidP="00D02F72">
            <w:pPr>
              <w:autoSpaceDE w:val="0"/>
              <w:autoSpaceDN w:val="0"/>
              <w:adjustRightInd w:val="0"/>
              <w:jc w:val="both"/>
              <w:rPr>
                <w:rFonts w:ascii="Arial Narrow" w:hAnsi="Arial Narrow" w:cs="DejaVuSans"/>
                <w:sz w:val="28"/>
                <w:szCs w:val="28"/>
                <w:lang w:val="mk-MK"/>
              </w:rPr>
            </w:pPr>
            <w:r w:rsidRPr="00D02F72">
              <w:rPr>
                <w:rFonts w:ascii="Arial Narrow" w:hAnsi="Arial Narrow" w:cs="DejaVuSans"/>
                <w:sz w:val="28"/>
                <w:szCs w:val="28"/>
                <w:lang w:val="mk-MK"/>
              </w:rPr>
              <w:t>растителни култури</w:t>
            </w:r>
          </w:p>
        </w:tc>
        <w:tc>
          <w:tcPr>
            <w:tcW w:w="3266"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19,60</w:t>
            </w:r>
          </w:p>
        </w:tc>
        <w:tc>
          <w:tcPr>
            <w:tcW w:w="3262" w:type="dxa"/>
            <w:shd w:val="clear" w:color="auto" w:fill="EAF1DD" w:themeFill="accent3" w:themeFillTint="33"/>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0,07%</w:t>
            </w:r>
          </w:p>
        </w:tc>
      </w:tr>
      <w:tr w:rsidR="00D02F72" w:rsidRPr="00D02F72" w:rsidTr="00A07853">
        <w:tc>
          <w:tcPr>
            <w:tcW w:w="3326" w:type="dxa"/>
            <w:shd w:val="clear" w:color="auto" w:fill="D6E3BC" w:themeFill="accent3" w:themeFillTint="66"/>
          </w:tcPr>
          <w:p w:rsidR="00D02F72" w:rsidRPr="00D02F72" w:rsidRDefault="00D02F72" w:rsidP="00D02F72">
            <w:pPr>
              <w:autoSpaceDE w:val="0"/>
              <w:autoSpaceDN w:val="0"/>
              <w:adjustRightInd w:val="0"/>
              <w:jc w:val="both"/>
              <w:rPr>
                <w:rFonts w:ascii="Arial Narrow" w:hAnsi="Arial Narrow" w:cs="DejaVuSans"/>
                <w:sz w:val="28"/>
                <w:szCs w:val="28"/>
                <w:lang w:val="mk-MK"/>
              </w:rPr>
            </w:pPr>
            <w:r w:rsidRPr="00D02F72">
              <w:rPr>
                <w:rFonts w:ascii="Arial Narrow" w:hAnsi="Arial Narrow" w:cs="DejaVuSans"/>
                <w:sz w:val="28"/>
                <w:szCs w:val="28"/>
                <w:lang w:val="mk-MK"/>
              </w:rPr>
              <w:t>Шумарство</w:t>
            </w:r>
          </w:p>
        </w:tc>
        <w:tc>
          <w:tcPr>
            <w:tcW w:w="3266"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-15.473,33</w:t>
            </w:r>
          </w:p>
        </w:tc>
        <w:tc>
          <w:tcPr>
            <w:tcW w:w="3262" w:type="dxa"/>
            <w:shd w:val="clear" w:color="auto" w:fill="EAF1DD" w:themeFill="accent3" w:themeFillTint="33"/>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-120,82%</w:t>
            </w:r>
          </w:p>
        </w:tc>
      </w:tr>
      <w:tr w:rsidR="00D02F72" w:rsidRPr="00D02F72" w:rsidTr="00A07853">
        <w:tc>
          <w:tcPr>
            <w:tcW w:w="3326" w:type="dxa"/>
            <w:shd w:val="clear" w:color="auto" w:fill="D6E3BC" w:themeFill="accent3" w:themeFillTint="66"/>
          </w:tcPr>
          <w:p w:rsidR="00D02F72" w:rsidRPr="00D02F72" w:rsidRDefault="00D02F72" w:rsidP="00D02F72">
            <w:pPr>
              <w:autoSpaceDE w:val="0"/>
              <w:autoSpaceDN w:val="0"/>
              <w:adjustRightInd w:val="0"/>
              <w:jc w:val="both"/>
              <w:rPr>
                <w:rFonts w:ascii="Arial Narrow" w:hAnsi="Arial Narrow" w:cs="DejaVuSans"/>
                <w:sz w:val="28"/>
                <w:szCs w:val="28"/>
                <w:lang w:val="mk-MK"/>
              </w:rPr>
            </w:pPr>
            <w:r w:rsidRPr="00D02F72">
              <w:rPr>
                <w:rFonts w:ascii="Arial Narrow" w:hAnsi="Arial Narrow" w:cs="DejaVuSans"/>
                <w:sz w:val="28"/>
                <w:szCs w:val="28"/>
                <w:lang w:val="mk-MK"/>
              </w:rPr>
              <w:t>Отпад</w:t>
            </w:r>
          </w:p>
        </w:tc>
        <w:tc>
          <w:tcPr>
            <w:tcW w:w="3266"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3.393,07</w:t>
            </w:r>
          </w:p>
        </w:tc>
        <w:tc>
          <w:tcPr>
            <w:tcW w:w="3262" w:type="dxa"/>
            <w:shd w:val="clear" w:color="auto" w:fill="EAF1DD" w:themeFill="accent3" w:themeFillTint="33"/>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12,00%</w:t>
            </w:r>
          </w:p>
        </w:tc>
      </w:tr>
      <w:tr w:rsidR="00D02F72" w:rsidRPr="00D02F72" w:rsidTr="00A07853">
        <w:tc>
          <w:tcPr>
            <w:tcW w:w="3326" w:type="dxa"/>
            <w:shd w:val="clear" w:color="auto" w:fill="D6E3BC" w:themeFill="accent3" w:themeFillTint="66"/>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Емисии на метан од депонии за цврст отпад</w:t>
            </w:r>
          </w:p>
        </w:tc>
        <w:tc>
          <w:tcPr>
            <w:tcW w:w="3266"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2.995,44</w:t>
            </w:r>
          </w:p>
        </w:tc>
        <w:tc>
          <w:tcPr>
            <w:tcW w:w="3262" w:type="dxa"/>
            <w:shd w:val="clear" w:color="auto" w:fill="EAF1DD" w:themeFill="accent3" w:themeFillTint="33"/>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10,59%</w:t>
            </w:r>
          </w:p>
        </w:tc>
      </w:tr>
      <w:tr w:rsidR="00D02F72" w:rsidRPr="00D02F72" w:rsidTr="00A07853">
        <w:tc>
          <w:tcPr>
            <w:tcW w:w="3326" w:type="dxa"/>
            <w:shd w:val="clear" w:color="auto" w:fill="D6E3BC" w:themeFill="accent3" w:themeFillTint="66"/>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Емисии на метан од</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резиденцијални/комерцијалн</w:t>
            </w:r>
          </w:p>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и органски отпадни води и</w:t>
            </w:r>
          </w:p>
          <w:p w:rsidR="00D02F72" w:rsidRPr="00D02F72" w:rsidRDefault="00D02F72" w:rsidP="00D02F72">
            <w:pPr>
              <w:autoSpaceDE w:val="0"/>
              <w:autoSpaceDN w:val="0"/>
              <w:adjustRightInd w:val="0"/>
              <w:jc w:val="both"/>
              <w:rPr>
                <w:rFonts w:ascii="Arial Narrow" w:hAnsi="Arial Narrow" w:cs="DejaVuSans"/>
                <w:sz w:val="28"/>
                <w:szCs w:val="28"/>
                <w:lang w:val="mk-MK"/>
              </w:rPr>
            </w:pPr>
            <w:r w:rsidRPr="00D02F72">
              <w:rPr>
                <w:rFonts w:ascii="Arial Narrow" w:hAnsi="Arial Narrow" w:cs="DejaVuSans"/>
                <w:sz w:val="28"/>
                <w:szCs w:val="28"/>
                <w:lang w:val="mk-MK"/>
              </w:rPr>
              <w:t>талози</w:t>
            </w:r>
          </w:p>
        </w:tc>
        <w:tc>
          <w:tcPr>
            <w:tcW w:w="3266"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208,53</w:t>
            </w:r>
          </w:p>
        </w:tc>
        <w:tc>
          <w:tcPr>
            <w:tcW w:w="3262" w:type="dxa"/>
            <w:shd w:val="clear" w:color="auto" w:fill="EAF1DD" w:themeFill="accent3" w:themeFillTint="33"/>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0,74%</w:t>
            </w:r>
          </w:p>
        </w:tc>
      </w:tr>
      <w:tr w:rsidR="00D02F72" w:rsidRPr="00D02F72" w:rsidTr="00A07853">
        <w:tc>
          <w:tcPr>
            <w:tcW w:w="3326" w:type="dxa"/>
            <w:shd w:val="clear" w:color="auto" w:fill="D6E3BC" w:themeFill="accent3" w:themeFillTint="66"/>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Емисии на азотни оксиди од канализациите</w:t>
            </w:r>
          </w:p>
        </w:tc>
        <w:tc>
          <w:tcPr>
            <w:tcW w:w="3266"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189,1</w:t>
            </w:r>
          </w:p>
        </w:tc>
        <w:tc>
          <w:tcPr>
            <w:tcW w:w="3262" w:type="dxa"/>
            <w:shd w:val="clear" w:color="auto" w:fill="EAF1DD" w:themeFill="accent3" w:themeFillTint="33"/>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0,67%</w:t>
            </w:r>
          </w:p>
        </w:tc>
      </w:tr>
      <w:tr w:rsidR="00D02F72" w:rsidRPr="00D02F72" w:rsidTr="00A07853">
        <w:tc>
          <w:tcPr>
            <w:tcW w:w="3326" w:type="dxa"/>
            <w:shd w:val="clear" w:color="auto" w:fill="D6E3BC" w:themeFill="accent3" w:themeFillTint="66"/>
          </w:tcPr>
          <w:p w:rsidR="00D02F72" w:rsidRPr="00D02F72" w:rsidRDefault="00D02F72" w:rsidP="00D02F72">
            <w:pPr>
              <w:autoSpaceDE w:val="0"/>
              <w:autoSpaceDN w:val="0"/>
              <w:adjustRightInd w:val="0"/>
              <w:jc w:val="both"/>
              <w:rPr>
                <w:rFonts w:ascii="Arial Narrow" w:hAnsi="Arial Narrow" w:cs="DejaVuSans"/>
                <w:sz w:val="28"/>
                <w:szCs w:val="28"/>
                <w:lang w:val="mk-MK"/>
              </w:rPr>
            </w:pPr>
            <w:r w:rsidRPr="00D02F72">
              <w:rPr>
                <w:rFonts w:ascii="Arial Narrow" w:hAnsi="Arial Narrow" w:cs="DejaVuSans"/>
                <w:sz w:val="28"/>
                <w:szCs w:val="28"/>
                <w:lang w:val="mk-MK"/>
              </w:rPr>
              <w:t>Вкупно (без шумарство)</w:t>
            </w:r>
          </w:p>
        </w:tc>
        <w:tc>
          <w:tcPr>
            <w:tcW w:w="3266"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28.280,21</w:t>
            </w:r>
          </w:p>
        </w:tc>
        <w:tc>
          <w:tcPr>
            <w:tcW w:w="3262" w:type="dxa"/>
            <w:shd w:val="clear" w:color="auto" w:fill="EAF1DD" w:themeFill="accent3" w:themeFillTint="33"/>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p>
        </w:tc>
      </w:tr>
      <w:tr w:rsidR="00D02F72" w:rsidRPr="00D02F72" w:rsidTr="00A07853">
        <w:tc>
          <w:tcPr>
            <w:tcW w:w="3326" w:type="dxa"/>
            <w:shd w:val="clear" w:color="auto" w:fill="D6E3BC" w:themeFill="accent3" w:themeFillTint="66"/>
          </w:tcPr>
          <w:p w:rsidR="00D02F72" w:rsidRPr="00D02F72" w:rsidRDefault="00D02F72" w:rsidP="00D02F72">
            <w:pPr>
              <w:autoSpaceDE w:val="0"/>
              <w:autoSpaceDN w:val="0"/>
              <w:adjustRightInd w:val="0"/>
              <w:rPr>
                <w:rFonts w:ascii="Arial Narrow" w:hAnsi="Arial Narrow" w:cs="DejaVuSans"/>
                <w:sz w:val="28"/>
                <w:szCs w:val="28"/>
                <w:lang w:val="mk-MK"/>
              </w:rPr>
            </w:pPr>
            <w:r w:rsidRPr="00D02F72">
              <w:rPr>
                <w:rFonts w:ascii="Arial Narrow" w:hAnsi="Arial Narrow" w:cs="DejaVuSans"/>
                <w:sz w:val="28"/>
                <w:szCs w:val="28"/>
                <w:lang w:val="mk-MK"/>
              </w:rPr>
              <w:t>Вкупно (вклучувајќи шумарство)</w:t>
            </w:r>
          </w:p>
        </w:tc>
        <w:tc>
          <w:tcPr>
            <w:tcW w:w="3266" w:type="dxa"/>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r w:rsidRPr="00D02F72">
              <w:rPr>
                <w:rFonts w:ascii="Arial Narrow" w:hAnsi="Arial Narrow" w:cs="DejaVuSans"/>
                <w:sz w:val="28"/>
                <w:szCs w:val="28"/>
                <w:lang w:val="mk-MK"/>
              </w:rPr>
              <w:t>12.806,88</w:t>
            </w:r>
          </w:p>
        </w:tc>
        <w:tc>
          <w:tcPr>
            <w:tcW w:w="3262" w:type="dxa"/>
            <w:shd w:val="clear" w:color="auto" w:fill="EAF1DD" w:themeFill="accent3" w:themeFillTint="33"/>
          </w:tcPr>
          <w:p w:rsidR="00D02F72" w:rsidRPr="00D02F72" w:rsidRDefault="00D02F72" w:rsidP="00D02F72">
            <w:pPr>
              <w:autoSpaceDE w:val="0"/>
              <w:autoSpaceDN w:val="0"/>
              <w:adjustRightInd w:val="0"/>
              <w:spacing w:after="120"/>
              <w:jc w:val="right"/>
              <w:rPr>
                <w:rFonts w:ascii="Arial Narrow" w:hAnsi="Arial Narrow" w:cs="DejaVuSans"/>
                <w:sz w:val="28"/>
                <w:szCs w:val="28"/>
                <w:lang w:val="mk-MK"/>
              </w:rPr>
            </w:pPr>
          </w:p>
        </w:tc>
      </w:tr>
    </w:tbl>
    <w:p w:rsidR="00D02F72" w:rsidRPr="00D02F72" w:rsidRDefault="00D02F72" w:rsidP="00D02F72">
      <w:pPr>
        <w:keepNext/>
        <w:tabs>
          <w:tab w:val="left" w:pos="1701"/>
        </w:tabs>
        <w:spacing w:before="120" w:after="120" w:line="240" w:lineRule="auto"/>
        <w:ind w:left="1701" w:right="567" w:hanging="1133"/>
        <w:rPr>
          <w:rFonts w:ascii="StobiSerifIt Regular" w:hAnsi="StobiSerifIt Regular"/>
          <w:i/>
          <w:color w:val="4F6228" w:themeColor="accent3" w:themeShade="80"/>
          <w:lang w:val="mk-MK" w:eastAsia="en-GB"/>
        </w:rPr>
      </w:pPr>
      <w:r w:rsidRPr="00D02F72">
        <w:rPr>
          <w:rFonts w:ascii="StobiSerifIt Regular" w:hAnsi="StobiSerifIt Regular"/>
          <w:i/>
          <w:color w:val="4F6228" w:themeColor="accent3" w:themeShade="80"/>
          <w:lang w:val="mk-MK" w:eastAsia="en-GB"/>
        </w:rPr>
        <w:t>Процентуална застапеност на емисиите на стакленички гасови во oпштина Богданци</w:t>
      </w:r>
    </w:p>
    <w:p w:rsidR="00D02F72" w:rsidRPr="00D02F72" w:rsidRDefault="00D02F72" w:rsidP="00D02F72">
      <w:pPr>
        <w:spacing w:before="120" w:after="120" w:line="360" w:lineRule="auto"/>
        <w:jc w:val="right"/>
        <w:rPr>
          <w:rFonts w:ascii="Times New Roman" w:hAnsi="Times New Roman"/>
          <w:noProof/>
          <w:sz w:val="24"/>
          <w:szCs w:val="24"/>
          <w:lang w:val="mk-MK"/>
        </w:rPr>
      </w:pPr>
      <w:r w:rsidRPr="00D02F72">
        <w:rPr>
          <w:rFonts w:ascii="Times New Roman" w:hAnsi="Times New Roman"/>
          <w:noProof/>
          <w:sz w:val="24"/>
          <w:szCs w:val="24"/>
        </w:rPr>
        <w:drawing>
          <wp:inline distT="0" distB="0" distL="0" distR="0" wp14:anchorId="30E94E4C" wp14:editId="016D8045">
            <wp:extent cx="3600000" cy="1782743"/>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8315" t="20454" r="1417" b="19405"/>
                    <a:stretch/>
                  </pic:blipFill>
                  <pic:spPr bwMode="auto">
                    <a:xfrm>
                      <a:off x="0" y="0"/>
                      <a:ext cx="3600000" cy="1782743"/>
                    </a:xfrm>
                    <a:prstGeom prst="rect">
                      <a:avLst/>
                    </a:prstGeom>
                    <a:noFill/>
                    <a:ln>
                      <a:noFill/>
                    </a:ln>
                    <a:extLst>
                      <a:ext uri="{53640926-AAD7-44D8-BBD7-CCE9431645EC}">
                        <a14:shadowObscured xmlns:a14="http://schemas.microsoft.com/office/drawing/2010/main"/>
                      </a:ext>
                    </a:extLst>
                  </pic:spPr>
                </pic:pic>
              </a:graphicData>
            </a:graphic>
          </wp:inline>
        </w:drawing>
      </w:r>
    </w:p>
    <w:p w:rsidR="00D02F72" w:rsidRPr="00D02F72" w:rsidRDefault="00D02F72" w:rsidP="00D02F72">
      <w:pPr>
        <w:keepNext/>
        <w:numPr>
          <w:ilvl w:val="2"/>
          <w:numId w:val="0"/>
        </w:numPr>
        <w:tabs>
          <w:tab w:val="left" w:pos="1134"/>
        </w:tabs>
        <w:spacing w:before="400" w:line="300" w:lineRule="exact"/>
        <w:ind w:left="1134" w:hanging="1134"/>
        <w:outlineLvl w:val="2"/>
        <w:rPr>
          <w:rFonts w:ascii="Arial Black" w:hAnsi="Arial Black" w:cs="Times New Roman"/>
          <w:b/>
          <w:bCs/>
          <w:color w:val="4F6228"/>
          <w:lang w:val="mk-MK" w:eastAsia="en-GB"/>
        </w:rPr>
      </w:pPr>
      <w:bookmarkStart w:id="38" w:name="_Toc382343201"/>
      <w:bookmarkStart w:id="39" w:name="_Toc382343502"/>
      <w:bookmarkStart w:id="40" w:name="_Toc382343814"/>
      <w:bookmarkStart w:id="41" w:name="_Toc382344123"/>
      <w:bookmarkStart w:id="42" w:name="_Toc382344124"/>
      <w:bookmarkEnd w:id="38"/>
      <w:bookmarkEnd w:id="39"/>
      <w:bookmarkEnd w:id="40"/>
      <w:bookmarkEnd w:id="41"/>
      <w:r w:rsidRPr="00D02F72">
        <w:rPr>
          <w:rFonts w:ascii="Arial Black" w:hAnsi="Arial Black" w:cs="Times New Roman"/>
          <w:b/>
          <w:bCs/>
          <w:color w:val="4F6228"/>
          <w:lang w:val="mk-MK" w:eastAsia="en-GB"/>
        </w:rPr>
        <w:t>Референци</w:t>
      </w:r>
      <w:bookmarkEnd w:id="42"/>
    </w:p>
    <w:p w:rsidR="00D02F72" w:rsidRPr="00D02F72" w:rsidRDefault="00D02F72" w:rsidP="00D02F72">
      <w:pPr>
        <w:autoSpaceDE w:val="0"/>
        <w:autoSpaceDN w:val="0"/>
        <w:adjustRightInd w:val="0"/>
        <w:spacing w:after="120"/>
        <w:jc w:val="both"/>
        <w:rPr>
          <w:rFonts w:ascii="Arial Narrow" w:hAnsi="Arial Narrow" w:cs="DejaVuSans-Oblique"/>
          <w:iCs/>
          <w:sz w:val="28"/>
          <w:szCs w:val="28"/>
          <w:lang w:val="mk-MK"/>
        </w:rPr>
      </w:pPr>
      <w:r w:rsidRPr="00D02F72">
        <w:rPr>
          <w:rFonts w:ascii="Arial Narrow" w:hAnsi="Arial Narrow" w:cs="DejaVuSans"/>
          <w:sz w:val="28"/>
          <w:szCs w:val="28"/>
          <w:lang w:val="mk-MK"/>
        </w:rPr>
        <w:t xml:space="preserve">[1] </w:t>
      </w:r>
      <w:r w:rsidRPr="00D02F72">
        <w:rPr>
          <w:rFonts w:ascii="Arial Narrow" w:hAnsi="Arial Narrow" w:cs="DejaVuSans-Oblique"/>
          <w:iCs/>
          <w:sz w:val="28"/>
          <w:szCs w:val="28"/>
          <w:lang w:val="mk-MK"/>
        </w:rPr>
        <w:t>Revised 1996 IPCC Guidelines for National Greenhouse Gas Inventories</w:t>
      </w:r>
    </w:p>
    <w:p w:rsidR="00D02F72" w:rsidRPr="00D02F72" w:rsidRDefault="00D02F72" w:rsidP="00D02F72">
      <w:pPr>
        <w:autoSpaceDE w:val="0"/>
        <w:autoSpaceDN w:val="0"/>
        <w:adjustRightInd w:val="0"/>
        <w:spacing w:after="120"/>
        <w:jc w:val="both"/>
        <w:rPr>
          <w:rFonts w:ascii="Arial Narrow" w:hAnsi="Arial Narrow" w:cs="DejaVuSans-Oblique"/>
          <w:iCs/>
          <w:sz w:val="28"/>
          <w:szCs w:val="28"/>
          <w:lang w:val="mk-MK"/>
        </w:rPr>
      </w:pPr>
      <w:r w:rsidRPr="00D02F72">
        <w:rPr>
          <w:rFonts w:ascii="Arial Narrow" w:hAnsi="Arial Narrow" w:cs="DejaVuSans"/>
          <w:sz w:val="28"/>
          <w:szCs w:val="28"/>
          <w:lang w:val="mk-MK"/>
        </w:rPr>
        <w:t xml:space="preserve">[2] </w:t>
      </w:r>
      <w:r w:rsidRPr="00D02F72">
        <w:rPr>
          <w:rFonts w:ascii="Arial Narrow" w:hAnsi="Arial Narrow" w:cs="DejaVuSans-Oblique"/>
          <w:iCs/>
          <w:sz w:val="28"/>
          <w:szCs w:val="28"/>
          <w:lang w:val="mk-MK"/>
        </w:rPr>
        <w:t>Good Practice Guidance and Uncertainty Management in National</w:t>
      </w:r>
    </w:p>
    <w:p w:rsidR="00D02F72" w:rsidRPr="00D02F72" w:rsidRDefault="00D02F72" w:rsidP="00D02F72">
      <w:pPr>
        <w:autoSpaceDE w:val="0"/>
        <w:autoSpaceDN w:val="0"/>
        <w:adjustRightInd w:val="0"/>
        <w:spacing w:after="120"/>
        <w:jc w:val="both"/>
        <w:rPr>
          <w:rFonts w:ascii="Arial Narrow" w:hAnsi="Arial Narrow" w:cs="DejaVuSans-Oblique"/>
          <w:iCs/>
          <w:sz w:val="28"/>
          <w:szCs w:val="28"/>
          <w:lang w:val="mk-MK"/>
        </w:rPr>
      </w:pPr>
      <w:r w:rsidRPr="00D02F72">
        <w:rPr>
          <w:rFonts w:ascii="Arial Narrow" w:hAnsi="Arial Narrow" w:cs="DejaVuSans-Oblique"/>
          <w:iCs/>
          <w:sz w:val="28"/>
          <w:szCs w:val="28"/>
          <w:lang w:val="mk-MK"/>
        </w:rPr>
        <w:t>Greenhouse Gas Inventories</w:t>
      </w:r>
    </w:p>
    <w:p w:rsidR="00D02F72" w:rsidRPr="00D02F72" w:rsidRDefault="00D02F72" w:rsidP="00D02F72">
      <w:pPr>
        <w:autoSpaceDE w:val="0"/>
        <w:autoSpaceDN w:val="0"/>
        <w:adjustRightInd w:val="0"/>
        <w:spacing w:after="120"/>
        <w:jc w:val="both"/>
        <w:rPr>
          <w:rFonts w:ascii="Arial Narrow" w:hAnsi="Arial Narrow" w:cs="DejaVuSans-Oblique"/>
          <w:iCs/>
          <w:sz w:val="28"/>
          <w:szCs w:val="28"/>
          <w:lang w:val="mk-MK"/>
        </w:rPr>
      </w:pPr>
      <w:r w:rsidRPr="00D02F72">
        <w:rPr>
          <w:rFonts w:ascii="Arial Narrow" w:hAnsi="Arial Narrow" w:cs="DejaVuSans"/>
          <w:sz w:val="28"/>
          <w:szCs w:val="28"/>
          <w:lang w:val="mk-MK"/>
        </w:rPr>
        <w:lastRenderedPageBreak/>
        <w:t xml:space="preserve">[3] </w:t>
      </w:r>
      <w:r w:rsidRPr="00D02F72">
        <w:rPr>
          <w:rFonts w:ascii="Arial Narrow" w:hAnsi="Arial Narrow" w:cs="DejaVuSans-Oblique"/>
          <w:iCs/>
          <w:sz w:val="28"/>
          <w:szCs w:val="28"/>
          <w:lang w:val="mk-MK"/>
        </w:rPr>
        <w:t>Национален извештај за инвентар на стакленички гасови- Трета национална комуникација кон УНФЦЦЦ</w:t>
      </w:r>
    </w:p>
    <w:p w:rsidR="00D02F72" w:rsidRPr="00D02F72" w:rsidRDefault="00D02F72" w:rsidP="00D02F72">
      <w:pPr>
        <w:autoSpaceDE w:val="0"/>
        <w:autoSpaceDN w:val="0"/>
        <w:adjustRightInd w:val="0"/>
        <w:spacing w:after="120"/>
        <w:jc w:val="both"/>
        <w:rPr>
          <w:rFonts w:ascii="Arial Narrow" w:hAnsi="Arial Narrow" w:cs="DejaVuSans"/>
          <w:sz w:val="28"/>
          <w:szCs w:val="28"/>
          <w:lang w:val="mk-MK"/>
        </w:rPr>
      </w:pPr>
      <w:r w:rsidRPr="00D02F72">
        <w:rPr>
          <w:rFonts w:ascii="Arial Narrow" w:hAnsi="Arial Narrow" w:cs="DejaVuSans"/>
          <w:sz w:val="28"/>
          <w:szCs w:val="28"/>
          <w:lang w:val="mk-MK"/>
        </w:rPr>
        <w:t xml:space="preserve">[4] </w:t>
      </w:r>
      <w:r w:rsidRPr="00D02F72">
        <w:rPr>
          <w:rFonts w:ascii="Arial Narrow" w:hAnsi="Arial Narrow" w:cs="DejaVuSans-Oblique"/>
          <w:iCs/>
          <w:sz w:val="28"/>
          <w:szCs w:val="28"/>
          <w:lang w:val="mk-MK"/>
        </w:rPr>
        <w:t>Национални емисиони фактори за CO</w:t>
      </w:r>
      <w:r w:rsidRPr="00D02F72">
        <w:rPr>
          <w:rFonts w:ascii="Arial Narrow" w:hAnsi="Arial Narrow" w:cs="DejaVuSans-Oblique"/>
          <w:iCs/>
          <w:sz w:val="28"/>
          <w:szCs w:val="28"/>
          <w:vertAlign w:val="subscript"/>
          <w:lang w:val="mk-MK"/>
        </w:rPr>
        <w:t>2</w:t>
      </w:r>
      <w:r w:rsidRPr="00D02F72">
        <w:rPr>
          <w:rFonts w:ascii="Arial Narrow" w:hAnsi="Arial Narrow" w:cs="DejaVuSans-Oblique"/>
          <w:iCs/>
          <w:sz w:val="28"/>
          <w:szCs w:val="28"/>
          <w:lang w:val="mk-MK"/>
        </w:rPr>
        <w:t xml:space="preserve"> и не-CO</w:t>
      </w:r>
      <w:r w:rsidRPr="00D02F72">
        <w:rPr>
          <w:rFonts w:ascii="Arial Narrow" w:hAnsi="Arial Narrow" w:cs="DejaVuSans-Oblique"/>
          <w:iCs/>
          <w:sz w:val="28"/>
          <w:szCs w:val="28"/>
          <w:vertAlign w:val="subscript"/>
          <w:lang w:val="mk-MK"/>
        </w:rPr>
        <w:t>2</w:t>
      </w:r>
      <w:r w:rsidRPr="00D02F72">
        <w:rPr>
          <w:rFonts w:ascii="Arial Narrow" w:hAnsi="Arial Narrow" w:cs="DejaVuSans-Oblique"/>
          <w:iCs/>
          <w:sz w:val="28"/>
          <w:szCs w:val="28"/>
          <w:lang w:val="mk-MK"/>
        </w:rPr>
        <w:t xml:space="preserve"> гасови за клучните</w:t>
      </w:r>
      <w:r w:rsidRPr="00D02F72">
        <w:rPr>
          <w:rFonts w:ascii="Arial Narrow" w:hAnsi="Arial Narrow" w:cs="DejaVuSans"/>
          <w:sz w:val="28"/>
          <w:szCs w:val="28"/>
          <w:lang w:val="mk-MK"/>
        </w:rPr>
        <w:t xml:space="preserve"> </w:t>
      </w:r>
      <w:r w:rsidRPr="00D02F72">
        <w:rPr>
          <w:rFonts w:ascii="Arial Narrow" w:hAnsi="Arial Narrow" w:cs="DejaVuSans-Oblique"/>
          <w:iCs/>
          <w:sz w:val="28"/>
          <w:szCs w:val="28"/>
          <w:lang w:val="mk-MK"/>
        </w:rPr>
        <w:t>Сектори на емисии во воздухот согласно IPCC и CORINAIR</w:t>
      </w:r>
      <w:r w:rsidRPr="00D02F72">
        <w:rPr>
          <w:rFonts w:ascii="Arial Narrow" w:hAnsi="Arial Narrow" w:cs="DejaVuSans"/>
          <w:sz w:val="28"/>
          <w:szCs w:val="28"/>
          <w:lang w:val="mk-MK"/>
        </w:rPr>
        <w:t xml:space="preserve"> </w:t>
      </w:r>
      <w:r w:rsidRPr="00D02F72">
        <w:rPr>
          <w:rFonts w:ascii="Arial Narrow" w:hAnsi="Arial Narrow" w:cs="DejaVuSans-Oblique"/>
          <w:iCs/>
          <w:sz w:val="28"/>
          <w:szCs w:val="28"/>
          <w:lang w:val="mk-MK"/>
        </w:rPr>
        <w:t>методологиите, финален извештај</w:t>
      </w:r>
    </w:p>
    <w:p w:rsidR="00D02F72" w:rsidRPr="00D02F72" w:rsidRDefault="00D02F72" w:rsidP="00D02F72">
      <w:pPr>
        <w:autoSpaceDE w:val="0"/>
        <w:autoSpaceDN w:val="0"/>
        <w:adjustRightInd w:val="0"/>
        <w:spacing w:after="120"/>
        <w:jc w:val="both"/>
        <w:rPr>
          <w:rFonts w:ascii="Arial Narrow" w:hAnsi="Arial Narrow" w:cs="DejaVuSans-Oblique"/>
          <w:iCs/>
          <w:sz w:val="28"/>
          <w:szCs w:val="28"/>
          <w:lang w:val="mk-MK"/>
        </w:rPr>
      </w:pPr>
      <w:r w:rsidRPr="00D02F72">
        <w:rPr>
          <w:rFonts w:ascii="Arial Narrow" w:hAnsi="Arial Narrow" w:cs="DejaVuSans"/>
          <w:sz w:val="28"/>
          <w:szCs w:val="28"/>
          <w:lang w:val="mk-MK"/>
        </w:rPr>
        <w:t xml:space="preserve">[5] </w:t>
      </w:r>
      <w:r w:rsidRPr="00D02F72">
        <w:rPr>
          <w:rFonts w:ascii="Arial Narrow" w:hAnsi="Arial Narrow" w:cs="DejaVuSans-Oblique"/>
          <w:iCs/>
          <w:sz w:val="28"/>
          <w:szCs w:val="28"/>
          <w:lang w:val="mk-MK"/>
        </w:rPr>
        <w:t>World Energy Outlook 2013, International Energy Agency</w:t>
      </w:r>
    </w:p>
    <w:p w:rsidR="00D02F72" w:rsidRPr="00D02F72" w:rsidRDefault="00D02F72" w:rsidP="00D02F72">
      <w:pPr>
        <w:autoSpaceDE w:val="0"/>
        <w:autoSpaceDN w:val="0"/>
        <w:adjustRightInd w:val="0"/>
        <w:spacing w:after="120"/>
        <w:jc w:val="both"/>
        <w:rPr>
          <w:rFonts w:ascii="Arial Narrow" w:hAnsi="Arial Narrow" w:cs="DejaVuSans"/>
          <w:b/>
          <w:sz w:val="28"/>
          <w:szCs w:val="28"/>
          <w:lang w:val="mk-MK"/>
        </w:rPr>
      </w:pPr>
      <w:r w:rsidRPr="00D02F72">
        <w:rPr>
          <w:rFonts w:ascii="Arial Narrow" w:hAnsi="Arial Narrow" w:cs="DejaVuSans"/>
          <w:sz w:val="28"/>
          <w:szCs w:val="28"/>
          <w:lang w:val="mk-MK"/>
        </w:rPr>
        <w:t xml:space="preserve">[6] </w:t>
      </w:r>
      <w:r w:rsidRPr="00D02F72">
        <w:rPr>
          <w:rFonts w:ascii="Arial Narrow" w:hAnsi="Arial Narrow" w:cs="DejaVuSans-Oblique"/>
          <w:iCs/>
          <w:sz w:val="28"/>
          <w:szCs w:val="28"/>
          <w:lang w:val="mk-MK"/>
        </w:rPr>
        <w:t>IPCC, Second Assessment Report: Climate Change 1995 (SAR)</w:t>
      </w:r>
    </w:p>
    <w:p w:rsidR="0066607E" w:rsidRDefault="0066607E"/>
    <w:sectPr w:rsidR="0066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Narrow"/>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It Regular">
    <w:altName w:val="Arial"/>
    <w:panose1 w:val="00000000000000000000"/>
    <w:charset w:val="00"/>
    <w:family w:val="modern"/>
    <w:notTrueType/>
    <w:pitch w:val="variable"/>
    <w:sig w:usb0="00000001" w:usb1="5000204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zSans-Book">
    <w:charset w:val="00"/>
    <w:family w:val="auto"/>
    <w:pitch w:val="variable"/>
    <w:sig w:usb0="A00002AF" w:usb1="5000204A" w:usb2="00000000" w:usb3="00000000" w:csb0="0000019F" w:csb1="00000000"/>
  </w:font>
  <w:font w:name="Gill Sans Std Light">
    <w:altName w:val="Arial"/>
    <w:panose1 w:val="00000000000000000000"/>
    <w:charset w:val="00"/>
    <w:family w:val="swiss"/>
    <w:notTrueType/>
    <w:pitch w:val="variable"/>
    <w:sig w:usb0="00000003" w:usb1="00000000" w:usb2="00000000" w:usb3="00000000" w:csb0="00000001" w:csb1="00000000"/>
  </w:font>
  <w:font w:name="TradeGothic-Ligh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DejaVuSans-Bold">
    <w:panose1 w:val="00000000000000000000"/>
    <w:charset w:val="CC"/>
    <w:family w:val="auto"/>
    <w:notTrueType/>
    <w:pitch w:val="default"/>
    <w:sig w:usb0="00000201" w:usb1="00000000" w:usb2="00000000" w:usb3="00000000" w:csb0="00000004" w:csb1="00000000"/>
  </w:font>
  <w:font w:name="DejaVuSans-Oblique">
    <w:panose1 w:val="00000000000000000000"/>
    <w:charset w:val="CC"/>
    <w:family w:val="auto"/>
    <w:notTrueType/>
    <w:pitch w:val="default"/>
    <w:sig w:usb0="00000201" w:usb1="00000000" w:usb2="00000000" w:usb3="00000000" w:csb0="00000004" w:csb1="00000000"/>
  </w:font>
  <w:font w:name="DejaVuSans">
    <w:altName w:val="Times New Roman"/>
    <w:panose1 w:val="00000000000000000000"/>
    <w:charset w:val="CC"/>
    <w:family w:val="auto"/>
    <w:notTrueType/>
    <w:pitch w:val="default"/>
    <w:sig w:usb0="00000201" w:usb1="00000000" w:usb2="00000000" w:usb3="00000000" w:csb0="00000004" w:csb1="00000000"/>
  </w:font>
  <w:font w:name="DejaVuSans-BoldOblique">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35pt;height:9.35pt" o:bullet="t">
        <v:imagedata r:id="rId1" o:title="BD10336_"/>
      </v:shape>
    </w:pict>
  </w:numPicBullet>
  <w:abstractNum w:abstractNumId="0">
    <w:nsid w:val="FFFFFF82"/>
    <w:multiLevelType w:val="singleLevel"/>
    <w:tmpl w:val="03B0E276"/>
    <w:lvl w:ilvl="0">
      <w:numFmt w:val="bullet"/>
      <w:pStyle w:val="ListBullet3"/>
      <w:lvlText w:val="●"/>
      <w:lvlJc w:val="left"/>
      <w:pPr>
        <w:ind w:left="926" w:hanging="360"/>
      </w:pPr>
      <w:rPr>
        <w:rFonts w:ascii="Arial" w:hAnsi="Arial" w:hint="default"/>
        <w:color w:val="4F6228" w:themeColor="accent3" w:themeShade="80"/>
        <w:sz w:val="22"/>
      </w:rPr>
    </w:lvl>
  </w:abstractNum>
  <w:abstractNum w:abstractNumId="1">
    <w:nsid w:val="FFFFFF83"/>
    <w:multiLevelType w:val="singleLevel"/>
    <w:tmpl w:val="225ECC18"/>
    <w:lvl w:ilvl="0">
      <w:start w:val="1"/>
      <w:numFmt w:val="bullet"/>
      <w:pStyle w:val="ListBullet2"/>
      <w:lvlText w:val="■"/>
      <w:lvlJc w:val="left"/>
      <w:pPr>
        <w:ind w:left="644" w:hanging="360"/>
      </w:pPr>
      <w:rPr>
        <w:rFonts w:ascii="Arial" w:hAnsi="Arial" w:hint="default"/>
        <w:color w:val="4F6228" w:themeColor="accent3" w:themeShade="80"/>
        <w:sz w:val="22"/>
      </w:rPr>
    </w:lvl>
  </w:abstractNum>
  <w:abstractNum w:abstractNumId="2">
    <w:nsid w:val="FFFFFF89"/>
    <w:multiLevelType w:val="singleLevel"/>
    <w:tmpl w:val="AD6698D4"/>
    <w:lvl w:ilvl="0">
      <w:start w:val="1"/>
      <w:numFmt w:val="bullet"/>
      <w:pStyle w:val="ListBullet"/>
      <w:lvlText w:val=""/>
      <w:lvlPicBulletId w:val="0"/>
      <w:lvlJc w:val="left"/>
      <w:pPr>
        <w:ind w:left="360" w:hanging="360"/>
      </w:pPr>
      <w:rPr>
        <w:rFonts w:ascii="Symbol" w:hAnsi="Symbol" w:hint="default"/>
        <w:color w:val="auto"/>
      </w:rPr>
    </w:lvl>
  </w:abstractNum>
  <w:abstractNum w:abstractNumId="3">
    <w:nsid w:val="04A02C92"/>
    <w:multiLevelType w:val="hybridMultilevel"/>
    <w:tmpl w:val="23FE19BA"/>
    <w:lvl w:ilvl="0" w:tplc="0409000F">
      <w:start w:val="1"/>
      <w:numFmt w:val="decimal"/>
      <w:pStyle w:val="ListNumb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D97367"/>
    <w:multiLevelType w:val="hybridMultilevel"/>
    <w:tmpl w:val="1C58AEB6"/>
    <w:lvl w:ilvl="0" w:tplc="B60A49FA">
      <w:start w:val="1"/>
      <w:numFmt w:val="decimal"/>
      <w:pStyle w:val="TableTitle"/>
      <w:lvlText w:val="Табела %1."/>
      <w:lvlJc w:val="left"/>
      <w:pPr>
        <w:ind w:left="720" w:hanging="360"/>
      </w:pPr>
      <w:rPr>
        <w:rFonts w:ascii="Arial" w:hAnsi="Arial" w:hint="default"/>
        <w:b w:val="0"/>
        <w:i w:val="0"/>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84720"/>
    <w:multiLevelType w:val="hybridMultilevel"/>
    <w:tmpl w:val="E6E0B004"/>
    <w:lvl w:ilvl="0" w:tplc="1BE0CE36">
      <w:start w:val="1"/>
      <w:numFmt w:val="decimal"/>
      <w:pStyle w:val="TabelaNaslov"/>
      <w:lvlText w:val="Табела %1."/>
      <w:lvlJc w:val="left"/>
      <w:pPr>
        <w:ind w:left="1287" w:hanging="360"/>
      </w:pPr>
      <w:rPr>
        <w:rFonts w:ascii="StobiSerifIt Regular" w:hAnsi="StobiSerifIt Regular" w:hint="default"/>
        <w:b w:val="0"/>
        <w:color w:val="4F6228" w:themeColor="accent3" w:themeShade="80"/>
        <w:sz w:val="22"/>
        <w:szCs w:val="22"/>
        <w:u w:val="singl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EE1270"/>
    <w:multiLevelType w:val="hybridMultilevel"/>
    <w:tmpl w:val="FF529E98"/>
    <w:lvl w:ilvl="0" w:tplc="DD4A0F90">
      <w:numFmt w:val="bullet"/>
      <w:pStyle w:val="TableBullet"/>
      <w:lvlText w:val="▫"/>
      <w:lvlJc w:val="left"/>
      <w:pPr>
        <w:ind w:left="360" w:hanging="360"/>
      </w:pPr>
      <w:rPr>
        <w:rFonts w:ascii="Arial Narrow" w:hAnsi="Arial Narrow" w:cs="Times New Roman"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36CAB"/>
    <w:multiLevelType w:val="multilevel"/>
    <w:tmpl w:val="08D637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6D4D7F2C"/>
    <w:multiLevelType w:val="hybridMultilevel"/>
    <w:tmpl w:val="414EC192"/>
    <w:lvl w:ilvl="0" w:tplc="B8BEE06C">
      <w:start w:val="1"/>
      <w:numFmt w:val="decimal"/>
      <w:pStyle w:val="SlikaNaslov"/>
      <w:lvlText w:val="Слика  %1."/>
      <w:lvlJc w:val="left"/>
      <w:pPr>
        <w:ind w:left="928" w:hanging="360"/>
      </w:pPr>
      <w:rPr>
        <w:rFonts w:ascii="StobiSerifIt Regular" w:hAnsi="StobiSerifIt Regular" w:hint="default"/>
        <w:b w:val="0"/>
        <w:i/>
        <w:sz w:val="22"/>
        <w:szCs w:val="22"/>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
  </w:num>
  <w:num w:numId="2">
    <w:abstractNumId w:val="7"/>
  </w:num>
  <w:num w:numId="3">
    <w:abstractNumId w:val="2"/>
  </w:num>
  <w:num w:numId="4">
    <w:abstractNumId w:val="1"/>
  </w:num>
  <w:num w:numId="5">
    <w:abstractNumId w:val="0"/>
  </w:num>
  <w:num w:numId="6">
    <w:abstractNumId w:val="5"/>
  </w:num>
  <w:num w:numId="7">
    <w:abstractNumId w:val="8"/>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72"/>
    <w:rsid w:val="0066607E"/>
    <w:rsid w:val="00D0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2F72"/>
    <w:pPr>
      <w:keepNext/>
      <w:numPr>
        <w:numId w:val="2"/>
      </w:numPr>
      <w:tabs>
        <w:tab w:val="left" w:pos="1134"/>
      </w:tabs>
      <w:spacing w:before="600" w:after="600" w:line="240" w:lineRule="auto"/>
      <w:ind w:left="1134" w:hanging="1134"/>
      <w:outlineLvl w:val="0"/>
    </w:pPr>
    <w:rPr>
      <w:rFonts w:ascii="Arial Black" w:eastAsia="Times New Roman" w:hAnsi="Arial Black" w:cs="Times New Roman"/>
      <w:b/>
      <w:bCs/>
      <w:caps/>
      <w:color w:val="4F6228"/>
      <w:kern w:val="32"/>
      <w:sz w:val="28"/>
      <w:szCs w:val="28"/>
      <w:lang w:val="mk-MK"/>
    </w:rPr>
  </w:style>
  <w:style w:type="paragraph" w:styleId="Heading2">
    <w:name w:val="heading 2"/>
    <w:basedOn w:val="Normal"/>
    <w:next w:val="Normal"/>
    <w:link w:val="Heading2Char"/>
    <w:uiPriority w:val="9"/>
    <w:unhideWhenUsed/>
    <w:qFormat/>
    <w:rsid w:val="00D02F72"/>
    <w:pPr>
      <w:keepNext/>
      <w:numPr>
        <w:ilvl w:val="1"/>
        <w:numId w:val="2"/>
      </w:numPr>
      <w:tabs>
        <w:tab w:val="left" w:pos="1134"/>
      </w:tabs>
      <w:spacing w:before="600" w:after="400" w:line="300" w:lineRule="exact"/>
      <w:ind w:left="1134" w:hanging="1134"/>
      <w:outlineLvl w:val="1"/>
    </w:pPr>
    <w:rPr>
      <w:rFonts w:ascii="Arial Black" w:hAnsi="Arial Black" w:cs="Times New Roman"/>
      <w:b/>
      <w:bCs/>
      <w:iCs/>
      <w:color w:val="4F6228"/>
      <w:sz w:val="28"/>
      <w:szCs w:val="28"/>
      <w:lang w:val="mk-MK" w:eastAsia="en-GB"/>
    </w:rPr>
  </w:style>
  <w:style w:type="paragraph" w:styleId="Heading3">
    <w:name w:val="heading 3"/>
    <w:basedOn w:val="Normal"/>
    <w:next w:val="Normal"/>
    <w:link w:val="Heading3Char"/>
    <w:uiPriority w:val="9"/>
    <w:unhideWhenUsed/>
    <w:qFormat/>
    <w:rsid w:val="00D02F72"/>
    <w:pPr>
      <w:keepNext/>
      <w:numPr>
        <w:ilvl w:val="2"/>
        <w:numId w:val="2"/>
      </w:numPr>
      <w:tabs>
        <w:tab w:val="left" w:pos="1134"/>
      </w:tabs>
      <w:spacing w:before="400" w:line="300" w:lineRule="exact"/>
      <w:ind w:left="1134" w:hanging="1134"/>
      <w:outlineLvl w:val="2"/>
    </w:pPr>
    <w:rPr>
      <w:rFonts w:ascii="Arial Black" w:hAnsi="Arial Black" w:cs="Times New Roman"/>
      <w:b/>
      <w:bCs/>
      <w:color w:val="4F6228"/>
      <w:lang w:val="mk-MK" w:eastAsia="en-GB"/>
    </w:rPr>
  </w:style>
  <w:style w:type="paragraph" w:styleId="Heading4">
    <w:name w:val="heading 4"/>
    <w:basedOn w:val="Normal"/>
    <w:next w:val="Normal"/>
    <w:link w:val="Heading4Char"/>
    <w:uiPriority w:val="9"/>
    <w:unhideWhenUsed/>
    <w:qFormat/>
    <w:rsid w:val="00D02F72"/>
    <w:pPr>
      <w:keepNext/>
      <w:numPr>
        <w:ilvl w:val="3"/>
        <w:numId w:val="2"/>
      </w:numPr>
      <w:spacing w:before="200" w:line="300" w:lineRule="exact"/>
      <w:ind w:left="1134" w:hanging="1134"/>
      <w:outlineLvl w:val="3"/>
    </w:pPr>
    <w:rPr>
      <w:rFonts w:ascii="Arial" w:eastAsia="Times New Roman" w:hAnsi="Arial" w:cs="Arial"/>
      <w:bCs/>
      <w:color w:val="4F6228"/>
      <w:lang w:val="mk-MK"/>
      <w14:textFill>
        <w14:solidFill>
          <w14:srgbClr w14:val="4F6228">
            <w14:lumMod w14:val="50000"/>
          </w14:srgbClr>
        </w14:solidFill>
      </w14:textFill>
    </w:rPr>
  </w:style>
  <w:style w:type="paragraph" w:styleId="Heading5">
    <w:name w:val="heading 5"/>
    <w:basedOn w:val="Heading4"/>
    <w:next w:val="Normal"/>
    <w:link w:val="Heading5Char"/>
    <w:uiPriority w:val="9"/>
    <w:unhideWhenUsed/>
    <w:qFormat/>
    <w:rsid w:val="00D02F72"/>
    <w:pPr>
      <w:numPr>
        <w:ilvl w:val="0"/>
        <w:numId w:val="0"/>
      </w:numPr>
      <w:outlineLvl w:val="4"/>
    </w:pPr>
    <w:rPr>
      <w:rFonts w:eastAsiaTheme="minorHAnsi"/>
    </w:rPr>
  </w:style>
  <w:style w:type="paragraph" w:styleId="Heading6">
    <w:name w:val="heading 6"/>
    <w:basedOn w:val="Normal"/>
    <w:next w:val="Normal"/>
    <w:link w:val="Heading6Char"/>
    <w:uiPriority w:val="9"/>
    <w:semiHidden/>
    <w:unhideWhenUsed/>
    <w:qFormat/>
    <w:rsid w:val="00D02F72"/>
    <w:pPr>
      <w:numPr>
        <w:ilvl w:val="5"/>
        <w:numId w:val="2"/>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D02F72"/>
    <w:pPr>
      <w:numPr>
        <w:ilvl w:val="6"/>
        <w:numId w:val="2"/>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D02F72"/>
    <w:pPr>
      <w:numPr>
        <w:ilvl w:val="7"/>
        <w:numId w:val="2"/>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D02F72"/>
    <w:pPr>
      <w:numPr>
        <w:ilvl w:val="8"/>
        <w:numId w:val="2"/>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F72"/>
    <w:rPr>
      <w:rFonts w:ascii="Arial Black" w:eastAsia="Times New Roman" w:hAnsi="Arial Black" w:cs="Times New Roman"/>
      <w:b/>
      <w:bCs/>
      <w:caps/>
      <w:color w:val="4F6228"/>
      <w:kern w:val="32"/>
      <w:sz w:val="28"/>
      <w:szCs w:val="28"/>
      <w:lang w:val="mk-MK"/>
    </w:rPr>
  </w:style>
  <w:style w:type="character" w:customStyle="1" w:styleId="Heading2Char">
    <w:name w:val="Heading 2 Char"/>
    <w:basedOn w:val="DefaultParagraphFont"/>
    <w:link w:val="Heading2"/>
    <w:uiPriority w:val="9"/>
    <w:rsid w:val="00D02F72"/>
    <w:rPr>
      <w:rFonts w:ascii="Arial Black" w:hAnsi="Arial Black" w:cs="Times New Roman"/>
      <w:b/>
      <w:bCs/>
      <w:iCs/>
      <w:color w:val="4F6228"/>
      <w:sz w:val="28"/>
      <w:szCs w:val="28"/>
      <w:lang w:val="mk-MK" w:eastAsia="en-GB"/>
    </w:rPr>
  </w:style>
  <w:style w:type="character" w:customStyle="1" w:styleId="Heading3Char">
    <w:name w:val="Heading 3 Char"/>
    <w:basedOn w:val="DefaultParagraphFont"/>
    <w:link w:val="Heading3"/>
    <w:uiPriority w:val="9"/>
    <w:rsid w:val="00D02F72"/>
    <w:rPr>
      <w:rFonts w:ascii="Arial Black" w:hAnsi="Arial Black" w:cs="Times New Roman"/>
      <w:b/>
      <w:bCs/>
      <w:color w:val="4F6228"/>
      <w:lang w:val="mk-MK" w:eastAsia="en-GB"/>
    </w:rPr>
  </w:style>
  <w:style w:type="character" w:customStyle="1" w:styleId="Heading4Char">
    <w:name w:val="Heading 4 Char"/>
    <w:basedOn w:val="DefaultParagraphFont"/>
    <w:link w:val="Heading4"/>
    <w:uiPriority w:val="9"/>
    <w:rsid w:val="00D02F72"/>
    <w:rPr>
      <w:rFonts w:ascii="Arial" w:eastAsia="Times New Roman" w:hAnsi="Arial" w:cs="Arial"/>
      <w:bCs/>
      <w:color w:val="4F6228"/>
      <w:lang w:val="mk-MK"/>
      <w14:textFill>
        <w14:solidFill>
          <w14:srgbClr w14:val="4F6228">
            <w14:lumMod w14:val="50000"/>
          </w14:srgbClr>
        </w14:solidFill>
      </w14:textFill>
    </w:rPr>
  </w:style>
  <w:style w:type="character" w:customStyle="1" w:styleId="Heading5Char">
    <w:name w:val="Heading 5 Char"/>
    <w:basedOn w:val="DefaultParagraphFont"/>
    <w:link w:val="Heading5"/>
    <w:uiPriority w:val="9"/>
    <w:rsid w:val="00D02F72"/>
    <w:rPr>
      <w:rFonts w:ascii="Arial" w:hAnsi="Arial" w:cs="Arial"/>
      <w:bCs/>
      <w:color w:val="4F6228"/>
      <w:lang w:val="mk-MK"/>
      <w14:textFill>
        <w14:solidFill>
          <w14:srgbClr w14:val="4F6228">
            <w14:lumMod w14:val="50000"/>
          </w14:srgbClr>
        </w14:solidFill>
      </w14:textFill>
    </w:rPr>
  </w:style>
  <w:style w:type="character" w:customStyle="1" w:styleId="Heading6Char">
    <w:name w:val="Heading 6 Char"/>
    <w:basedOn w:val="DefaultParagraphFont"/>
    <w:link w:val="Heading6"/>
    <w:uiPriority w:val="9"/>
    <w:semiHidden/>
    <w:rsid w:val="00D02F72"/>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02F7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02F7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02F72"/>
    <w:rPr>
      <w:rFonts w:ascii="Cambria" w:eastAsia="Times New Roman" w:hAnsi="Cambria" w:cs="Times New Roman"/>
    </w:rPr>
  </w:style>
  <w:style w:type="numbering" w:customStyle="1" w:styleId="NoList1">
    <w:name w:val="No List1"/>
    <w:next w:val="NoList"/>
    <w:uiPriority w:val="99"/>
    <w:semiHidden/>
    <w:unhideWhenUsed/>
    <w:rsid w:val="00D02F72"/>
  </w:style>
  <w:style w:type="paragraph" w:styleId="TOC1">
    <w:name w:val="toc 1"/>
    <w:basedOn w:val="Normal"/>
    <w:next w:val="Normal"/>
    <w:autoRedefine/>
    <w:uiPriority w:val="39"/>
    <w:unhideWhenUsed/>
    <w:rsid w:val="00D02F72"/>
    <w:pPr>
      <w:tabs>
        <w:tab w:val="left" w:pos="440"/>
        <w:tab w:val="right" w:leader="dot" w:pos="9072"/>
      </w:tabs>
      <w:spacing w:before="100" w:after="100" w:line="240" w:lineRule="auto"/>
      <w:ind w:right="424"/>
    </w:pPr>
    <w:rPr>
      <w:rFonts w:ascii="Arial Narrow" w:eastAsia="Calibri" w:hAnsi="Arial Narrow" w:cs="Times New Roman"/>
      <w:noProof/>
    </w:rPr>
  </w:style>
  <w:style w:type="character" w:styleId="Hyperlink">
    <w:name w:val="Hyperlink"/>
    <w:uiPriority w:val="99"/>
    <w:unhideWhenUsed/>
    <w:rsid w:val="00D02F72"/>
    <w:rPr>
      <w:color w:val="0000FF"/>
      <w:u w:val="single"/>
    </w:rPr>
  </w:style>
  <w:style w:type="paragraph" w:styleId="TOC2">
    <w:name w:val="toc 2"/>
    <w:basedOn w:val="Normal"/>
    <w:next w:val="Normal"/>
    <w:autoRedefine/>
    <w:uiPriority w:val="39"/>
    <w:unhideWhenUsed/>
    <w:rsid w:val="00D02F72"/>
    <w:pPr>
      <w:tabs>
        <w:tab w:val="left" w:pos="880"/>
        <w:tab w:val="right" w:leader="dot" w:pos="9072"/>
      </w:tabs>
      <w:spacing w:after="0" w:line="240" w:lineRule="auto"/>
      <w:ind w:left="221" w:right="424"/>
    </w:pPr>
    <w:rPr>
      <w:rFonts w:ascii="Arial Narrow" w:eastAsia="Calibri" w:hAnsi="Arial Narrow" w:cs="Times New Roman"/>
      <w:noProof/>
    </w:rPr>
  </w:style>
  <w:style w:type="paragraph" w:styleId="TOC3">
    <w:name w:val="toc 3"/>
    <w:basedOn w:val="Normal"/>
    <w:next w:val="Normal"/>
    <w:autoRedefine/>
    <w:uiPriority w:val="39"/>
    <w:unhideWhenUsed/>
    <w:rsid w:val="00D02F72"/>
    <w:pPr>
      <w:tabs>
        <w:tab w:val="left" w:pos="1100"/>
        <w:tab w:val="right" w:leader="dot" w:pos="9072"/>
      </w:tabs>
      <w:ind w:left="442" w:right="425"/>
      <w:contextualSpacing/>
    </w:pPr>
    <w:rPr>
      <w:rFonts w:ascii="Arial Narrow" w:eastAsia="Calibri" w:hAnsi="Arial Narrow" w:cs="Times New Roman"/>
    </w:rPr>
  </w:style>
  <w:style w:type="paragraph" w:styleId="ListParagraph">
    <w:name w:val="List Paragraph"/>
    <w:basedOn w:val="Normal"/>
    <w:uiPriority w:val="34"/>
    <w:qFormat/>
    <w:rsid w:val="00D02F72"/>
    <w:pPr>
      <w:ind w:left="720"/>
    </w:pPr>
    <w:rPr>
      <w:rFonts w:ascii="Calibri" w:eastAsia="Calibri" w:hAnsi="Calibri" w:cs="Times New Roman"/>
    </w:rPr>
  </w:style>
  <w:style w:type="paragraph" w:styleId="BalloonText">
    <w:name w:val="Balloon Text"/>
    <w:basedOn w:val="Normal"/>
    <w:link w:val="BalloonTextChar"/>
    <w:uiPriority w:val="99"/>
    <w:semiHidden/>
    <w:unhideWhenUsed/>
    <w:rsid w:val="00D02F7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02F72"/>
    <w:rPr>
      <w:rFonts w:ascii="Tahoma" w:eastAsia="Calibri" w:hAnsi="Tahoma" w:cs="Tahoma"/>
      <w:sz w:val="16"/>
      <w:szCs w:val="16"/>
    </w:rPr>
  </w:style>
  <w:style w:type="paragraph" w:styleId="EndnoteText">
    <w:name w:val="endnote text"/>
    <w:basedOn w:val="Normal"/>
    <w:link w:val="EndnoteTextChar"/>
    <w:uiPriority w:val="99"/>
    <w:semiHidden/>
    <w:unhideWhenUsed/>
    <w:rsid w:val="00D02F72"/>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D02F7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02F72"/>
    <w:rPr>
      <w:vertAlign w:val="superscript"/>
    </w:rPr>
  </w:style>
  <w:style w:type="paragraph" w:styleId="FootnoteText">
    <w:name w:val="footnote text"/>
    <w:basedOn w:val="Normal"/>
    <w:link w:val="FootnoteTextChar"/>
    <w:uiPriority w:val="99"/>
    <w:rsid w:val="00D02F72"/>
    <w:pPr>
      <w:spacing w:after="0" w:line="240" w:lineRule="auto"/>
    </w:pPr>
    <w:rPr>
      <w:rFonts w:ascii="Arial Narrow" w:eastAsia="Times New Roman" w:hAnsi="Arial Narrow" w:cs="Times New Roman"/>
      <w:sz w:val="18"/>
      <w:szCs w:val="20"/>
      <w:lang w:val="mk-MK"/>
    </w:rPr>
  </w:style>
  <w:style w:type="character" w:customStyle="1" w:styleId="FootnoteTextChar">
    <w:name w:val="Footnote Text Char"/>
    <w:basedOn w:val="DefaultParagraphFont"/>
    <w:link w:val="FootnoteText"/>
    <w:uiPriority w:val="99"/>
    <w:rsid w:val="00D02F72"/>
    <w:rPr>
      <w:rFonts w:ascii="Arial Narrow" w:eastAsia="Times New Roman" w:hAnsi="Arial Narrow" w:cs="Times New Roman"/>
      <w:sz w:val="18"/>
      <w:szCs w:val="20"/>
      <w:lang w:val="mk-MK"/>
    </w:rPr>
  </w:style>
  <w:style w:type="character" w:styleId="FootnoteReference">
    <w:name w:val="footnote reference"/>
    <w:uiPriority w:val="99"/>
    <w:rsid w:val="00D02F72"/>
    <w:rPr>
      <w:vertAlign w:val="superscript"/>
    </w:rPr>
  </w:style>
  <w:style w:type="paragraph" w:styleId="Header">
    <w:name w:val="header"/>
    <w:basedOn w:val="Normal"/>
    <w:link w:val="HeaderChar"/>
    <w:uiPriority w:val="99"/>
    <w:unhideWhenUsed/>
    <w:rsid w:val="00D02F72"/>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02F72"/>
    <w:rPr>
      <w:rFonts w:ascii="Calibri" w:eastAsia="Calibri" w:hAnsi="Calibri" w:cs="Times New Roman"/>
    </w:rPr>
  </w:style>
  <w:style w:type="paragraph" w:styleId="Footer">
    <w:name w:val="footer"/>
    <w:basedOn w:val="Normal"/>
    <w:link w:val="FooterChar"/>
    <w:uiPriority w:val="99"/>
    <w:unhideWhenUsed/>
    <w:rsid w:val="00D02F72"/>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D02F72"/>
    <w:rPr>
      <w:rFonts w:ascii="Calibri" w:eastAsia="Calibri" w:hAnsi="Calibri" w:cs="Times New Roman"/>
    </w:rPr>
  </w:style>
  <w:style w:type="paragraph" w:styleId="NormalWeb">
    <w:name w:val="Normal (Web)"/>
    <w:basedOn w:val="Normal"/>
    <w:uiPriority w:val="99"/>
    <w:semiHidden/>
    <w:unhideWhenUsed/>
    <w:rsid w:val="00D02F72"/>
    <w:rPr>
      <w:rFonts w:ascii="Times New Roman" w:eastAsia="Calibri" w:hAnsi="Times New Roman" w:cs="Times New Roman"/>
      <w:sz w:val="24"/>
      <w:szCs w:val="24"/>
    </w:rPr>
  </w:style>
  <w:style w:type="table" w:styleId="TableGrid">
    <w:name w:val="Table Grid"/>
    <w:basedOn w:val="TableNormal"/>
    <w:uiPriority w:val="59"/>
    <w:rsid w:val="00D02F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D02F72"/>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BodyText">
    <w:name w:val="Body Text"/>
    <w:basedOn w:val="Normal"/>
    <w:link w:val="BodyTextChar"/>
    <w:uiPriority w:val="99"/>
    <w:unhideWhenUsed/>
    <w:rsid w:val="00D02F72"/>
    <w:pPr>
      <w:spacing w:line="300" w:lineRule="exact"/>
      <w:jc w:val="both"/>
    </w:pPr>
    <w:rPr>
      <w:rFonts w:ascii="Arial" w:eastAsia="Calibri" w:hAnsi="Arial" w:cs="Arial"/>
      <w:lang w:val="mk-MK"/>
    </w:rPr>
  </w:style>
  <w:style w:type="character" w:customStyle="1" w:styleId="BodyTextChar">
    <w:name w:val="Body Text Char"/>
    <w:basedOn w:val="DefaultParagraphFont"/>
    <w:link w:val="BodyText"/>
    <w:uiPriority w:val="99"/>
    <w:rsid w:val="00D02F72"/>
    <w:rPr>
      <w:rFonts w:ascii="Arial" w:eastAsia="Calibri" w:hAnsi="Arial" w:cs="Arial"/>
      <w:lang w:val="mk-MK"/>
    </w:rPr>
  </w:style>
  <w:style w:type="table" w:customStyle="1" w:styleId="TableGrid1">
    <w:name w:val="Table Grid1"/>
    <w:basedOn w:val="TableNormal"/>
    <w:next w:val="TableGrid"/>
    <w:uiPriority w:val="59"/>
    <w:rsid w:val="00D02F7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D02F72"/>
    <w:pPr>
      <w:keepLines/>
      <w:numPr>
        <w:numId w:val="0"/>
      </w:numPr>
      <w:tabs>
        <w:tab w:val="clear" w:pos="1134"/>
      </w:tabs>
      <w:spacing w:before="480" w:after="0" w:line="276" w:lineRule="auto"/>
      <w:outlineLvl w:val="9"/>
    </w:pPr>
    <w:rPr>
      <w:rFonts w:ascii="LuzSans-Book" w:eastAsiaTheme="majorEastAsia" w:hAnsi="LuzSans-Book" w:cstheme="majorBidi"/>
      <w:caps w:val="0"/>
      <w:color w:val="365F91" w:themeColor="accent1" w:themeShade="BF"/>
      <w:kern w:val="0"/>
      <w:lang w:val="en-US" w:eastAsia="ja-JP"/>
    </w:rPr>
  </w:style>
  <w:style w:type="paragraph" w:customStyle="1" w:styleId="TableHeadings">
    <w:name w:val="Table Headings"/>
    <w:basedOn w:val="Normal"/>
    <w:uiPriority w:val="99"/>
    <w:rsid w:val="00D02F72"/>
    <w:pPr>
      <w:keepNext/>
      <w:keepLines/>
      <w:spacing w:before="40" w:after="40" w:line="240" w:lineRule="auto"/>
    </w:pPr>
    <w:rPr>
      <w:rFonts w:ascii="Gill Sans Std Light" w:eastAsia="Times New Roman" w:hAnsi="Gill Sans Std Light" w:cs="Gill Sans Std Light"/>
      <w:b/>
      <w:bCs/>
      <w:sz w:val="18"/>
      <w:szCs w:val="18"/>
    </w:rPr>
  </w:style>
  <w:style w:type="paragraph" w:customStyle="1" w:styleId="TableText">
    <w:name w:val="Table Text"/>
    <w:rsid w:val="00D02F72"/>
    <w:pPr>
      <w:keepNext/>
      <w:keepLines/>
      <w:spacing w:before="40" w:after="40" w:line="240" w:lineRule="auto"/>
    </w:pPr>
    <w:rPr>
      <w:rFonts w:ascii="Gill Sans Std Light" w:eastAsia="Times New Roman" w:hAnsi="Gill Sans Std Light" w:cs="Gill Sans Std Light"/>
      <w:sz w:val="18"/>
      <w:szCs w:val="18"/>
    </w:rPr>
  </w:style>
  <w:style w:type="character" w:customStyle="1" w:styleId="apple-style-span">
    <w:name w:val="apple-style-span"/>
    <w:uiPriority w:val="99"/>
    <w:rsid w:val="00D02F72"/>
    <w:rPr>
      <w:rFonts w:cs="Times New Roman"/>
    </w:rPr>
  </w:style>
  <w:style w:type="table" w:styleId="LightGrid-Accent1">
    <w:name w:val="Light Grid Accent 1"/>
    <w:basedOn w:val="TableNormal"/>
    <w:uiPriority w:val="62"/>
    <w:rsid w:val="00D02F72"/>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3">
    <w:name w:val="Medium Shading 1 Accent 3"/>
    <w:basedOn w:val="TableNormal"/>
    <w:uiPriority w:val="63"/>
    <w:rsid w:val="00D02F7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NoList11">
    <w:name w:val="No List11"/>
    <w:next w:val="NoList"/>
    <w:uiPriority w:val="99"/>
    <w:semiHidden/>
    <w:unhideWhenUsed/>
    <w:rsid w:val="00D02F72"/>
  </w:style>
  <w:style w:type="table" w:customStyle="1" w:styleId="TableGrid2">
    <w:name w:val="Table Grid2"/>
    <w:basedOn w:val="TableNormal"/>
    <w:next w:val="TableGrid"/>
    <w:uiPriority w:val="59"/>
    <w:rsid w:val="00D02F72"/>
    <w:pPr>
      <w:spacing w:after="0" w:line="240" w:lineRule="auto"/>
    </w:pPr>
    <w:rPr>
      <w:rFonts w:ascii="Calibri" w:eastAsia="Calibri" w:hAnsi="Calibri" w:cs="Times New Roman"/>
      <w:sz w:val="20"/>
      <w:szCs w:val="20"/>
      <w:lang w:val="mk-MK"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D02F72"/>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lockText">
    <w:name w:val="Block Text"/>
    <w:basedOn w:val="Normal"/>
    <w:uiPriority w:val="99"/>
    <w:unhideWhenUsed/>
    <w:rsid w:val="00D02F72"/>
    <w:pPr>
      <w:spacing w:after="120"/>
      <w:ind w:left="1440" w:right="1440"/>
    </w:pPr>
    <w:rPr>
      <w:rFonts w:ascii="Arial" w:eastAsia="Calibri" w:hAnsi="Arial" w:cs="Arial"/>
      <w:lang w:val="mk-MK"/>
    </w:rPr>
  </w:style>
  <w:style w:type="paragraph" w:styleId="Caption">
    <w:name w:val="caption"/>
    <w:basedOn w:val="Normal"/>
    <w:next w:val="Normal"/>
    <w:uiPriority w:val="35"/>
    <w:unhideWhenUsed/>
    <w:qFormat/>
    <w:rsid w:val="00D02F72"/>
    <w:pPr>
      <w:spacing w:line="240" w:lineRule="auto"/>
    </w:pPr>
    <w:rPr>
      <w:rFonts w:ascii="LuzSans-Book" w:hAnsi="LuzSans-Book"/>
      <w:bCs/>
      <w:sz w:val="20"/>
      <w:szCs w:val="18"/>
      <w:lang w:val="mk-MK"/>
    </w:rPr>
  </w:style>
  <w:style w:type="character" w:styleId="CommentReference">
    <w:name w:val="annotation reference"/>
    <w:uiPriority w:val="99"/>
    <w:semiHidden/>
    <w:unhideWhenUsed/>
    <w:rsid w:val="00D02F72"/>
    <w:rPr>
      <w:sz w:val="16"/>
      <w:szCs w:val="16"/>
    </w:rPr>
  </w:style>
  <w:style w:type="paragraph" w:styleId="CommentText">
    <w:name w:val="annotation text"/>
    <w:basedOn w:val="Normal"/>
    <w:link w:val="CommentTextChar"/>
    <w:uiPriority w:val="99"/>
    <w:semiHidden/>
    <w:unhideWhenUsed/>
    <w:rsid w:val="00D02F72"/>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02F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2F72"/>
    <w:rPr>
      <w:b/>
      <w:bCs/>
    </w:rPr>
  </w:style>
  <w:style w:type="character" w:customStyle="1" w:styleId="CommentSubjectChar">
    <w:name w:val="Comment Subject Char"/>
    <w:basedOn w:val="CommentTextChar"/>
    <w:link w:val="CommentSubject"/>
    <w:uiPriority w:val="99"/>
    <w:semiHidden/>
    <w:rsid w:val="00D02F72"/>
    <w:rPr>
      <w:rFonts w:ascii="Calibri" w:eastAsia="Calibri" w:hAnsi="Calibri" w:cs="Times New Roman"/>
      <w:b/>
      <w:bCs/>
      <w:sz w:val="20"/>
      <w:szCs w:val="20"/>
    </w:rPr>
  </w:style>
  <w:style w:type="paragraph" w:styleId="Date">
    <w:name w:val="Date"/>
    <w:basedOn w:val="Normal"/>
    <w:next w:val="Normal"/>
    <w:link w:val="DateChar"/>
    <w:uiPriority w:val="99"/>
    <w:unhideWhenUsed/>
    <w:rsid w:val="00D02F72"/>
    <w:pPr>
      <w:spacing w:after="600" w:line="240" w:lineRule="auto"/>
      <w:jc w:val="center"/>
    </w:pPr>
    <w:rPr>
      <w:rFonts w:ascii="Arial Black" w:eastAsia="Calibri" w:hAnsi="Arial Black" w:cs="Times New Roman"/>
      <w:sz w:val="28"/>
      <w:lang w:val="mk-MK"/>
    </w:rPr>
  </w:style>
  <w:style w:type="character" w:customStyle="1" w:styleId="DateChar">
    <w:name w:val="Date Char"/>
    <w:basedOn w:val="DefaultParagraphFont"/>
    <w:link w:val="Date"/>
    <w:uiPriority w:val="99"/>
    <w:rsid w:val="00D02F72"/>
    <w:rPr>
      <w:rFonts w:ascii="Arial Black" w:eastAsia="Calibri" w:hAnsi="Arial Black" w:cs="Times New Roman"/>
      <w:sz w:val="28"/>
      <w:lang w:val="mk-MK"/>
    </w:rPr>
  </w:style>
  <w:style w:type="paragraph" w:customStyle="1" w:styleId="Default">
    <w:name w:val="Default"/>
    <w:rsid w:val="00D02F7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ightList-Accent3">
    <w:name w:val="Light List Accent 3"/>
    <w:basedOn w:val="TableNormal"/>
    <w:uiPriority w:val="61"/>
    <w:rsid w:val="00D02F72"/>
    <w:pPr>
      <w:spacing w:after="0" w:line="240" w:lineRule="auto"/>
    </w:pPr>
    <w:rPr>
      <w:rFonts w:ascii="Calibri" w:eastAsia="Calibri" w:hAnsi="Calibri"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D02F72"/>
    <w:pPr>
      <w:spacing w:after="0" w:line="240" w:lineRule="auto"/>
    </w:pPr>
    <w:rPr>
      <w:rFonts w:ascii="Calibri" w:eastAsia="Calibri" w:hAnsi="Calibri"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Bullet">
    <w:name w:val="List Bullet"/>
    <w:basedOn w:val="Normal"/>
    <w:uiPriority w:val="99"/>
    <w:unhideWhenUsed/>
    <w:rsid w:val="00D02F72"/>
    <w:pPr>
      <w:numPr>
        <w:numId w:val="3"/>
      </w:numPr>
      <w:tabs>
        <w:tab w:val="left" w:pos="567"/>
      </w:tabs>
      <w:spacing w:before="200" w:line="300" w:lineRule="exact"/>
      <w:ind w:left="567" w:hanging="567"/>
      <w:contextualSpacing/>
    </w:pPr>
    <w:rPr>
      <w:rFonts w:ascii="Arial" w:eastAsia="Calibri" w:hAnsi="Arial" w:cs="Arial"/>
      <w:lang w:val="mk-MK" w:eastAsia="en-GB"/>
    </w:rPr>
  </w:style>
  <w:style w:type="paragraph" w:styleId="ListBullet2">
    <w:name w:val="List Bullet 2"/>
    <w:basedOn w:val="Normal"/>
    <w:autoRedefine/>
    <w:uiPriority w:val="99"/>
    <w:unhideWhenUsed/>
    <w:rsid w:val="00D02F72"/>
    <w:pPr>
      <w:numPr>
        <w:numId w:val="4"/>
      </w:numPr>
      <w:spacing w:line="300" w:lineRule="exact"/>
      <w:ind w:left="851" w:hanging="284"/>
      <w:contextualSpacing/>
    </w:pPr>
    <w:rPr>
      <w:rFonts w:ascii="Arial" w:hAnsi="Arial" w:cs="Arial"/>
      <w:lang w:val="mk-MK" w:eastAsia="en-GB"/>
    </w:rPr>
  </w:style>
  <w:style w:type="paragraph" w:styleId="ListBullet3">
    <w:name w:val="List Bullet 3"/>
    <w:basedOn w:val="Normal"/>
    <w:autoRedefine/>
    <w:uiPriority w:val="99"/>
    <w:unhideWhenUsed/>
    <w:rsid w:val="00D02F72"/>
    <w:pPr>
      <w:numPr>
        <w:numId w:val="5"/>
      </w:numPr>
      <w:spacing w:line="300" w:lineRule="exact"/>
      <w:contextualSpacing/>
    </w:pPr>
    <w:rPr>
      <w:rFonts w:ascii="Arial" w:eastAsia="Calibri" w:hAnsi="Arial" w:cs="Times New Roman"/>
    </w:rPr>
  </w:style>
  <w:style w:type="paragraph" w:styleId="ListNumber">
    <w:name w:val="List Number"/>
    <w:basedOn w:val="Normal"/>
    <w:uiPriority w:val="99"/>
    <w:unhideWhenUsed/>
    <w:rsid w:val="00D02F72"/>
    <w:pPr>
      <w:numPr>
        <w:numId w:val="1"/>
      </w:numPr>
      <w:autoSpaceDE w:val="0"/>
      <w:autoSpaceDN w:val="0"/>
      <w:adjustRightInd w:val="0"/>
      <w:spacing w:line="240" w:lineRule="auto"/>
      <w:contextualSpacing/>
      <w:jc w:val="both"/>
    </w:pPr>
    <w:rPr>
      <w:rFonts w:ascii="Arial" w:eastAsia="TradeGothic-Light" w:hAnsi="Arial" w:cs="Arial"/>
      <w:lang w:val="mk-MK"/>
    </w:rPr>
  </w:style>
  <w:style w:type="table" w:styleId="MediumShading2-Accent3">
    <w:name w:val="Medium Shading 2 Accent 3"/>
    <w:basedOn w:val="TableNormal"/>
    <w:uiPriority w:val="64"/>
    <w:rsid w:val="00D02F72"/>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D02F72"/>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D02F72"/>
    <w:rPr>
      <w:rFonts w:ascii="Calibri" w:eastAsia="MS Mincho" w:hAnsi="Calibri" w:cs="Arial"/>
      <w:lang w:eastAsia="ja-JP"/>
    </w:rPr>
  </w:style>
  <w:style w:type="paragraph" w:styleId="NoteHeading">
    <w:name w:val="Note Heading"/>
    <w:basedOn w:val="Normal"/>
    <w:next w:val="Normal"/>
    <w:link w:val="NoteHeadingChar"/>
    <w:uiPriority w:val="99"/>
    <w:unhideWhenUsed/>
    <w:rsid w:val="00D02F72"/>
    <w:pPr>
      <w:spacing w:after="0" w:line="240" w:lineRule="auto"/>
    </w:pPr>
    <w:rPr>
      <w:rFonts w:ascii="Calibri" w:eastAsia="Calibri" w:hAnsi="Calibri" w:cs="Times New Roman"/>
    </w:rPr>
  </w:style>
  <w:style w:type="character" w:customStyle="1" w:styleId="NoteHeadingChar">
    <w:name w:val="Note Heading Char"/>
    <w:basedOn w:val="DefaultParagraphFont"/>
    <w:link w:val="NoteHeading"/>
    <w:uiPriority w:val="99"/>
    <w:rsid w:val="00D02F72"/>
    <w:rPr>
      <w:rFonts w:ascii="Calibri" w:eastAsia="Calibri" w:hAnsi="Calibri" w:cs="Times New Roman"/>
    </w:rPr>
  </w:style>
  <w:style w:type="paragraph" w:customStyle="1" w:styleId="Slika">
    <w:name w:val="Slika"/>
    <w:basedOn w:val="BodyText"/>
    <w:qFormat/>
    <w:rsid w:val="00D02F72"/>
    <w:pPr>
      <w:spacing w:before="120" w:after="120" w:line="360" w:lineRule="auto"/>
      <w:jc w:val="right"/>
    </w:pPr>
    <w:rPr>
      <w:rFonts w:ascii="Times New Roman" w:eastAsiaTheme="minorHAnsi" w:hAnsi="Times New Roman" w:cstheme="minorBidi"/>
      <w:noProof/>
      <w:sz w:val="24"/>
      <w:szCs w:val="24"/>
      <w:lang w:val="en-US"/>
    </w:rPr>
  </w:style>
  <w:style w:type="paragraph" w:customStyle="1" w:styleId="TabelaNaslov">
    <w:name w:val="Tabela_Naslov"/>
    <w:basedOn w:val="BodyText"/>
    <w:autoRedefine/>
    <w:qFormat/>
    <w:rsid w:val="00D02F72"/>
    <w:pPr>
      <w:keepNext/>
      <w:numPr>
        <w:numId w:val="6"/>
      </w:numPr>
      <w:tabs>
        <w:tab w:val="left" w:pos="1701"/>
      </w:tabs>
      <w:spacing w:before="120" w:after="120" w:line="240" w:lineRule="auto"/>
      <w:ind w:left="1701" w:right="567" w:hanging="1134"/>
      <w:jc w:val="left"/>
    </w:pPr>
    <w:rPr>
      <w:rFonts w:ascii="StobiSerifIt Regular" w:eastAsiaTheme="minorHAnsi" w:hAnsi="StobiSerifIt Regular" w:cstheme="minorBidi"/>
      <w:i/>
      <w:color w:val="4F6228" w:themeColor="accent3" w:themeShade="80"/>
      <w:lang w:eastAsia="en-GB"/>
    </w:rPr>
  </w:style>
  <w:style w:type="paragraph" w:customStyle="1" w:styleId="SlikaNaslov">
    <w:name w:val="Slika_Naslov"/>
    <w:basedOn w:val="TabelaNaslov"/>
    <w:qFormat/>
    <w:rsid w:val="00D02F72"/>
    <w:pPr>
      <w:numPr>
        <w:numId w:val="7"/>
      </w:numPr>
      <w:ind w:left="1701" w:hanging="1133"/>
    </w:pPr>
  </w:style>
  <w:style w:type="paragraph" w:styleId="Subtitle">
    <w:name w:val="Subtitle"/>
    <w:basedOn w:val="Normal"/>
    <w:next w:val="Normal"/>
    <w:link w:val="SubtitleChar"/>
    <w:uiPriority w:val="11"/>
    <w:qFormat/>
    <w:rsid w:val="00D02F72"/>
    <w:pPr>
      <w:spacing w:before="600" w:after="0" w:line="240" w:lineRule="auto"/>
      <w:jc w:val="center"/>
      <w:outlineLvl w:val="1"/>
    </w:pPr>
    <w:rPr>
      <w:rFonts w:ascii="Arial Black" w:eastAsia="Times New Roman" w:hAnsi="Arial Black" w:cs="Times New Roman"/>
      <w:sz w:val="40"/>
      <w:szCs w:val="24"/>
      <w:lang w:val="mk-MK"/>
    </w:rPr>
  </w:style>
  <w:style w:type="character" w:customStyle="1" w:styleId="SubtitleChar">
    <w:name w:val="Subtitle Char"/>
    <w:basedOn w:val="DefaultParagraphFont"/>
    <w:link w:val="Subtitle"/>
    <w:uiPriority w:val="11"/>
    <w:rsid w:val="00D02F72"/>
    <w:rPr>
      <w:rFonts w:ascii="Arial Black" w:eastAsia="Times New Roman" w:hAnsi="Arial Black" w:cs="Times New Roman"/>
      <w:sz w:val="40"/>
      <w:szCs w:val="24"/>
      <w:lang w:val="mk-MK"/>
    </w:rPr>
  </w:style>
  <w:style w:type="paragraph" w:customStyle="1" w:styleId="TableBullet">
    <w:name w:val="Table Bullet"/>
    <w:basedOn w:val="Normal"/>
    <w:qFormat/>
    <w:rsid w:val="00D02F72"/>
    <w:pPr>
      <w:numPr>
        <w:numId w:val="8"/>
      </w:numPr>
      <w:tabs>
        <w:tab w:val="left" w:pos="170"/>
      </w:tabs>
      <w:spacing w:after="0" w:line="240" w:lineRule="auto"/>
      <w:ind w:left="170" w:hanging="170"/>
    </w:pPr>
    <w:rPr>
      <w:rFonts w:ascii="Arial Narrow" w:eastAsia="Calibri" w:hAnsi="Arial Narrow" w:cs="Times New Roman"/>
      <w:color w:val="4F6228"/>
      <w:sz w:val="20"/>
      <w:szCs w:val="20"/>
      <w:lang w:val="mk-MK"/>
    </w:rPr>
  </w:style>
  <w:style w:type="paragraph" w:customStyle="1" w:styleId="TableTitle">
    <w:name w:val="Table Title"/>
    <w:basedOn w:val="BodyText"/>
    <w:qFormat/>
    <w:rsid w:val="00D02F72"/>
    <w:pPr>
      <w:keepNext/>
      <w:numPr>
        <w:numId w:val="9"/>
      </w:numPr>
      <w:tabs>
        <w:tab w:val="left" w:pos="1418"/>
      </w:tabs>
      <w:spacing w:before="200"/>
      <w:jc w:val="left"/>
    </w:pPr>
    <w:rPr>
      <w:color w:val="4F6228"/>
    </w:rPr>
  </w:style>
  <w:style w:type="paragraph" w:styleId="Title">
    <w:name w:val="Title"/>
    <w:basedOn w:val="Normal"/>
    <w:next w:val="Normal"/>
    <w:link w:val="TitleChar"/>
    <w:uiPriority w:val="10"/>
    <w:qFormat/>
    <w:rsid w:val="00D02F72"/>
    <w:pPr>
      <w:spacing w:before="5000" w:after="4000" w:line="360" w:lineRule="auto"/>
      <w:jc w:val="center"/>
      <w:outlineLvl w:val="0"/>
    </w:pPr>
    <w:rPr>
      <w:rFonts w:ascii="Arial Black" w:eastAsia="Times New Roman" w:hAnsi="Arial Black" w:cs="Times New Roman"/>
      <w:b/>
      <w:bCs/>
      <w:kern w:val="28"/>
      <w:sz w:val="48"/>
      <w:szCs w:val="32"/>
      <w:lang w:val="mk-MK"/>
    </w:rPr>
  </w:style>
  <w:style w:type="character" w:customStyle="1" w:styleId="TitleChar">
    <w:name w:val="Title Char"/>
    <w:basedOn w:val="DefaultParagraphFont"/>
    <w:link w:val="Title"/>
    <w:uiPriority w:val="10"/>
    <w:rsid w:val="00D02F72"/>
    <w:rPr>
      <w:rFonts w:ascii="Arial Black" w:eastAsia="Times New Roman" w:hAnsi="Arial Black" w:cs="Times New Roman"/>
      <w:b/>
      <w:bCs/>
      <w:kern w:val="28"/>
      <w:sz w:val="48"/>
      <w:szCs w:val="32"/>
      <w:lang w:val="mk-MK"/>
    </w:rPr>
  </w:style>
  <w:style w:type="paragraph" w:styleId="Revision">
    <w:name w:val="Revision"/>
    <w:hidden/>
    <w:uiPriority w:val="99"/>
    <w:semiHidden/>
    <w:rsid w:val="00D02F72"/>
    <w:pPr>
      <w:spacing w:after="0" w:line="240" w:lineRule="auto"/>
    </w:pPr>
    <w:rPr>
      <w:rFonts w:ascii="Calibri" w:eastAsia="Calibri" w:hAnsi="Calibri" w:cs="Times New Roman"/>
    </w:rPr>
  </w:style>
  <w:style w:type="table" w:styleId="LightGrid-Accent3">
    <w:name w:val="Light Grid Accent 3"/>
    <w:basedOn w:val="TableNormal"/>
    <w:uiPriority w:val="62"/>
    <w:rsid w:val="00D02F72"/>
    <w:pPr>
      <w:spacing w:after="0" w:line="240" w:lineRule="auto"/>
    </w:pPr>
    <w:rPr>
      <w:lang w:val="mk-M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FollowedHyperlink">
    <w:name w:val="FollowedHyperlink"/>
    <w:basedOn w:val="DefaultParagraphFont"/>
    <w:uiPriority w:val="99"/>
    <w:semiHidden/>
    <w:unhideWhenUsed/>
    <w:rsid w:val="00D02F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2F72"/>
    <w:pPr>
      <w:keepNext/>
      <w:numPr>
        <w:numId w:val="2"/>
      </w:numPr>
      <w:tabs>
        <w:tab w:val="left" w:pos="1134"/>
      </w:tabs>
      <w:spacing w:before="600" w:after="600" w:line="240" w:lineRule="auto"/>
      <w:ind w:left="1134" w:hanging="1134"/>
      <w:outlineLvl w:val="0"/>
    </w:pPr>
    <w:rPr>
      <w:rFonts w:ascii="Arial Black" w:eastAsia="Times New Roman" w:hAnsi="Arial Black" w:cs="Times New Roman"/>
      <w:b/>
      <w:bCs/>
      <w:caps/>
      <w:color w:val="4F6228"/>
      <w:kern w:val="32"/>
      <w:sz w:val="28"/>
      <w:szCs w:val="28"/>
      <w:lang w:val="mk-MK"/>
    </w:rPr>
  </w:style>
  <w:style w:type="paragraph" w:styleId="Heading2">
    <w:name w:val="heading 2"/>
    <w:basedOn w:val="Normal"/>
    <w:next w:val="Normal"/>
    <w:link w:val="Heading2Char"/>
    <w:uiPriority w:val="9"/>
    <w:unhideWhenUsed/>
    <w:qFormat/>
    <w:rsid w:val="00D02F72"/>
    <w:pPr>
      <w:keepNext/>
      <w:numPr>
        <w:ilvl w:val="1"/>
        <w:numId w:val="2"/>
      </w:numPr>
      <w:tabs>
        <w:tab w:val="left" w:pos="1134"/>
      </w:tabs>
      <w:spacing w:before="600" w:after="400" w:line="300" w:lineRule="exact"/>
      <w:ind w:left="1134" w:hanging="1134"/>
      <w:outlineLvl w:val="1"/>
    </w:pPr>
    <w:rPr>
      <w:rFonts w:ascii="Arial Black" w:hAnsi="Arial Black" w:cs="Times New Roman"/>
      <w:b/>
      <w:bCs/>
      <w:iCs/>
      <w:color w:val="4F6228"/>
      <w:sz w:val="28"/>
      <w:szCs w:val="28"/>
      <w:lang w:val="mk-MK" w:eastAsia="en-GB"/>
    </w:rPr>
  </w:style>
  <w:style w:type="paragraph" w:styleId="Heading3">
    <w:name w:val="heading 3"/>
    <w:basedOn w:val="Normal"/>
    <w:next w:val="Normal"/>
    <w:link w:val="Heading3Char"/>
    <w:uiPriority w:val="9"/>
    <w:unhideWhenUsed/>
    <w:qFormat/>
    <w:rsid w:val="00D02F72"/>
    <w:pPr>
      <w:keepNext/>
      <w:numPr>
        <w:ilvl w:val="2"/>
        <w:numId w:val="2"/>
      </w:numPr>
      <w:tabs>
        <w:tab w:val="left" w:pos="1134"/>
      </w:tabs>
      <w:spacing w:before="400" w:line="300" w:lineRule="exact"/>
      <w:ind w:left="1134" w:hanging="1134"/>
      <w:outlineLvl w:val="2"/>
    </w:pPr>
    <w:rPr>
      <w:rFonts w:ascii="Arial Black" w:hAnsi="Arial Black" w:cs="Times New Roman"/>
      <w:b/>
      <w:bCs/>
      <w:color w:val="4F6228"/>
      <w:lang w:val="mk-MK" w:eastAsia="en-GB"/>
    </w:rPr>
  </w:style>
  <w:style w:type="paragraph" w:styleId="Heading4">
    <w:name w:val="heading 4"/>
    <w:basedOn w:val="Normal"/>
    <w:next w:val="Normal"/>
    <w:link w:val="Heading4Char"/>
    <w:uiPriority w:val="9"/>
    <w:unhideWhenUsed/>
    <w:qFormat/>
    <w:rsid w:val="00D02F72"/>
    <w:pPr>
      <w:keepNext/>
      <w:numPr>
        <w:ilvl w:val="3"/>
        <w:numId w:val="2"/>
      </w:numPr>
      <w:spacing w:before="200" w:line="300" w:lineRule="exact"/>
      <w:ind w:left="1134" w:hanging="1134"/>
      <w:outlineLvl w:val="3"/>
    </w:pPr>
    <w:rPr>
      <w:rFonts w:ascii="Arial" w:eastAsia="Times New Roman" w:hAnsi="Arial" w:cs="Arial"/>
      <w:bCs/>
      <w:color w:val="4F6228"/>
      <w:lang w:val="mk-MK"/>
      <w14:textFill>
        <w14:solidFill>
          <w14:srgbClr w14:val="4F6228">
            <w14:lumMod w14:val="50000"/>
          </w14:srgbClr>
        </w14:solidFill>
      </w14:textFill>
    </w:rPr>
  </w:style>
  <w:style w:type="paragraph" w:styleId="Heading5">
    <w:name w:val="heading 5"/>
    <w:basedOn w:val="Heading4"/>
    <w:next w:val="Normal"/>
    <w:link w:val="Heading5Char"/>
    <w:uiPriority w:val="9"/>
    <w:unhideWhenUsed/>
    <w:qFormat/>
    <w:rsid w:val="00D02F72"/>
    <w:pPr>
      <w:numPr>
        <w:ilvl w:val="0"/>
        <w:numId w:val="0"/>
      </w:numPr>
      <w:outlineLvl w:val="4"/>
    </w:pPr>
    <w:rPr>
      <w:rFonts w:eastAsiaTheme="minorHAnsi"/>
    </w:rPr>
  </w:style>
  <w:style w:type="paragraph" w:styleId="Heading6">
    <w:name w:val="heading 6"/>
    <w:basedOn w:val="Normal"/>
    <w:next w:val="Normal"/>
    <w:link w:val="Heading6Char"/>
    <w:uiPriority w:val="9"/>
    <w:semiHidden/>
    <w:unhideWhenUsed/>
    <w:qFormat/>
    <w:rsid w:val="00D02F72"/>
    <w:pPr>
      <w:numPr>
        <w:ilvl w:val="5"/>
        <w:numId w:val="2"/>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D02F72"/>
    <w:pPr>
      <w:numPr>
        <w:ilvl w:val="6"/>
        <w:numId w:val="2"/>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D02F72"/>
    <w:pPr>
      <w:numPr>
        <w:ilvl w:val="7"/>
        <w:numId w:val="2"/>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D02F72"/>
    <w:pPr>
      <w:numPr>
        <w:ilvl w:val="8"/>
        <w:numId w:val="2"/>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F72"/>
    <w:rPr>
      <w:rFonts w:ascii="Arial Black" w:eastAsia="Times New Roman" w:hAnsi="Arial Black" w:cs="Times New Roman"/>
      <w:b/>
      <w:bCs/>
      <w:caps/>
      <w:color w:val="4F6228"/>
      <w:kern w:val="32"/>
      <w:sz w:val="28"/>
      <w:szCs w:val="28"/>
      <w:lang w:val="mk-MK"/>
    </w:rPr>
  </w:style>
  <w:style w:type="character" w:customStyle="1" w:styleId="Heading2Char">
    <w:name w:val="Heading 2 Char"/>
    <w:basedOn w:val="DefaultParagraphFont"/>
    <w:link w:val="Heading2"/>
    <w:uiPriority w:val="9"/>
    <w:rsid w:val="00D02F72"/>
    <w:rPr>
      <w:rFonts w:ascii="Arial Black" w:hAnsi="Arial Black" w:cs="Times New Roman"/>
      <w:b/>
      <w:bCs/>
      <w:iCs/>
      <w:color w:val="4F6228"/>
      <w:sz w:val="28"/>
      <w:szCs w:val="28"/>
      <w:lang w:val="mk-MK" w:eastAsia="en-GB"/>
    </w:rPr>
  </w:style>
  <w:style w:type="character" w:customStyle="1" w:styleId="Heading3Char">
    <w:name w:val="Heading 3 Char"/>
    <w:basedOn w:val="DefaultParagraphFont"/>
    <w:link w:val="Heading3"/>
    <w:uiPriority w:val="9"/>
    <w:rsid w:val="00D02F72"/>
    <w:rPr>
      <w:rFonts w:ascii="Arial Black" w:hAnsi="Arial Black" w:cs="Times New Roman"/>
      <w:b/>
      <w:bCs/>
      <w:color w:val="4F6228"/>
      <w:lang w:val="mk-MK" w:eastAsia="en-GB"/>
    </w:rPr>
  </w:style>
  <w:style w:type="character" w:customStyle="1" w:styleId="Heading4Char">
    <w:name w:val="Heading 4 Char"/>
    <w:basedOn w:val="DefaultParagraphFont"/>
    <w:link w:val="Heading4"/>
    <w:uiPriority w:val="9"/>
    <w:rsid w:val="00D02F72"/>
    <w:rPr>
      <w:rFonts w:ascii="Arial" w:eastAsia="Times New Roman" w:hAnsi="Arial" w:cs="Arial"/>
      <w:bCs/>
      <w:color w:val="4F6228"/>
      <w:lang w:val="mk-MK"/>
      <w14:textFill>
        <w14:solidFill>
          <w14:srgbClr w14:val="4F6228">
            <w14:lumMod w14:val="50000"/>
          </w14:srgbClr>
        </w14:solidFill>
      </w14:textFill>
    </w:rPr>
  </w:style>
  <w:style w:type="character" w:customStyle="1" w:styleId="Heading5Char">
    <w:name w:val="Heading 5 Char"/>
    <w:basedOn w:val="DefaultParagraphFont"/>
    <w:link w:val="Heading5"/>
    <w:uiPriority w:val="9"/>
    <w:rsid w:val="00D02F72"/>
    <w:rPr>
      <w:rFonts w:ascii="Arial" w:hAnsi="Arial" w:cs="Arial"/>
      <w:bCs/>
      <w:color w:val="4F6228"/>
      <w:lang w:val="mk-MK"/>
      <w14:textFill>
        <w14:solidFill>
          <w14:srgbClr w14:val="4F6228">
            <w14:lumMod w14:val="50000"/>
          </w14:srgbClr>
        </w14:solidFill>
      </w14:textFill>
    </w:rPr>
  </w:style>
  <w:style w:type="character" w:customStyle="1" w:styleId="Heading6Char">
    <w:name w:val="Heading 6 Char"/>
    <w:basedOn w:val="DefaultParagraphFont"/>
    <w:link w:val="Heading6"/>
    <w:uiPriority w:val="9"/>
    <w:semiHidden/>
    <w:rsid w:val="00D02F72"/>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02F7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02F7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02F72"/>
    <w:rPr>
      <w:rFonts w:ascii="Cambria" w:eastAsia="Times New Roman" w:hAnsi="Cambria" w:cs="Times New Roman"/>
    </w:rPr>
  </w:style>
  <w:style w:type="numbering" w:customStyle="1" w:styleId="NoList1">
    <w:name w:val="No List1"/>
    <w:next w:val="NoList"/>
    <w:uiPriority w:val="99"/>
    <w:semiHidden/>
    <w:unhideWhenUsed/>
    <w:rsid w:val="00D02F72"/>
  </w:style>
  <w:style w:type="paragraph" w:styleId="TOC1">
    <w:name w:val="toc 1"/>
    <w:basedOn w:val="Normal"/>
    <w:next w:val="Normal"/>
    <w:autoRedefine/>
    <w:uiPriority w:val="39"/>
    <w:unhideWhenUsed/>
    <w:rsid w:val="00D02F72"/>
    <w:pPr>
      <w:tabs>
        <w:tab w:val="left" w:pos="440"/>
        <w:tab w:val="right" w:leader="dot" w:pos="9072"/>
      </w:tabs>
      <w:spacing w:before="100" w:after="100" w:line="240" w:lineRule="auto"/>
      <w:ind w:right="424"/>
    </w:pPr>
    <w:rPr>
      <w:rFonts w:ascii="Arial Narrow" w:eastAsia="Calibri" w:hAnsi="Arial Narrow" w:cs="Times New Roman"/>
      <w:noProof/>
    </w:rPr>
  </w:style>
  <w:style w:type="character" w:styleId="Hyperlink">
    <w:name w:val="Hyperlink"/>
    <w:uiPriority w:val="99"/>
    <w:unhideWhenUsed/>
    <w:rsid w:val="00D02F72"/>
    <w:rPr>
      <w:color w:val="0000FF"/>
      <w:u w:val="single"/>
    </w:rPr>
  </w:style>
  <w:style w:type="paragraph" w:styleId="TOC2">
    <w:name w:val="toc 2"/>
    <w:basedOn w:val="Normal"/>
    <w:next w:val="Normal"/>
    <w:autoRedefine/>
    <w:uiPriority w:val="39"/>
    <w:unhideWhenUsed/>
    <w:rsid w:val="00D02F72"/>
    <w:pPr>
      <w:tabs>
        <w:tab w:val="left" w:pos="880"/>
        <w:tab w:val="right" w:leader="dot" w:pos="9072"/>
      </w:tabs>
      <w:spacing w:after="0" w:line="240" w:lineRule="auto"/>
      <w:ind w:left="221" w:right="424"/>
    </w:pPr>
    <w:rPr>
      <w:rFonts w:ascii="Arial Narrow" w:eastAsia="Calibri" w:hAnsi="Arial Narrow" w:cs="Times New Roman"/>
      <w:noProof/>
    </w:rPr>
  </w:style>
  <w:style w:type="paragraph" w:styleId="TOC3">
    <w:name w:val="toc 3"/>
    <w:basedOn w:val="Normal"/>
    <w:next w:val="Normal"/>
    <w:autoRedefine/>
    <w:uiPriority w:val="39"/>
    <w:unhideWhenUsed/>
    <w:rsid w:val="00D02F72"/>
    <w:pPr>
      <w:tabs>
        <w:tab w:val="left" w:pos="1100"/>
        <w:tab w:val="right" w:leader="dot" w:pos="9072"/>
      </w:tabs>
      <w:ind w:left="442" w:right="425"/>
      <w:contextualSpacing/>
    </w:pPr>
    <w:rPr>
      <w:rFonts w:ascii="Arial Narrow" w:eastAsia="Calibri" w:hAnsi="Arial Narrow" w:cs="Times New Roman"/>
    </w:rPr>
  </w:style>
  <w:style w:type="paragraph" w:styleId="ListParagraph">
    <w:name w:val="List Paragraph"/>
    <w:basedOn w:val="Normal"/>
    <w:uiPriority w:val="34"/>
    <w:qFormat/>
    <w:rsid w:val="00D02F72"/>
    <w:pPr>
      <w:ind w:left="720"/>
    </w:pPr>
    <w:rPr>
      <w:rFonts w:ascii="Calibri" w:eastAsia="Calibri" w:hAnsi="Calibri" w:cs="Times New Roman"/>
    </w:rPr>
  </w:style>
  <w:style w:type="paragraph" w:styleId="BalloonText">
    <w:name w:val="Balloon Text"/>
    <w:basedOn w:val="Normal"/>
    <w:link w:val="BalloonTextChar"/>
    <w:uiPriority w:val="99"/>
    <w:semiHidden/>
    <w:unhideWhenUsed/>
    <w:rsid w:val="00D02F7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02F72"/>
    <w:rPr>
      <w:rFonts w:ascii="Tahoma" w:eastAsia="Calibri" w:hAnsi="Tahoma" w:cs="Tahoma"/>
      <w:sz w:val="16"/>
      <w:szCs w:val="16"/>
    </w:rPr>
  </w:style>
  <w:style w:type="paragraph" w:styleId="EndnoteText">
    <w:name w:val="endnote text"/>
    <w:basedOn w:val="Normal"/>
    <w:link w:val="EndnoteTextChar"/>
    <w:uiPriority w:val="99"/>
    <w:semiHidden/>
    <w:unhideWhenUsed/>
    <w:rsid w:val="00D02F72"/>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D02F7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02F72"/>
    <w:rPr>
      <w:vertAlign w:val="superscript"/>
    </w:rPr>
  </w:style>
  <w:style w:type="paragraph" w:styleId="FootnoteText">
    <w:name w:val="footnote text"/>
    <w:basedOn w:val="Normal"/>
    <w:link w:val="FootnoteTextChar"/>
    <w:uiPriority w:val="99"/>
    <w:rsid w:val="00D02F72"/>
    <w:pPr>
      <w:spacing w:after="0" w:line="240" w:lineRule="auto"/>
    </w:pPr>
    <w:rPr>
      <w:rFonts w:ascii="Arial Narrow" w:eastAsia="Times New Roman" w:hAnsi="Arial Narrow" w:cs="Times New Roman"/>
      <w:sz w:val="18"/>
      <w:szCs w:val="20"/>
      <w:lang w:val="mk-MK"/>
    </w:rPr>
  </w:style>
  <w:style w:type="character" w:customStyle="1" w:styleId="FootnoteTextChar">
    <w:name w:val="Footnote Text Char"/>
    <w:basedOn w:val="DefaultParagraphFont"/>
    <w:link w:val="FootnoteText"/>
    <w:uiPriority w:val="99"/>
    <w:rsid w:val="00D02F72"/>
    <w:rPr>
      <w:rFonts w:ascii="Arial Narrow" w:eastAsia="Times New Roman" w:hAnsi="Arial Narrow" w:cs="Times New Roman"/>
      <w:sz w:val="18"/>
      <w:szCs w:val="20"/>
      <w:lang w:val="mk-MK"/>
    </w:rPr>
  </w:style>
  <w:style w:type="character" w:styleId="FootnoteReference">
    <w:name w:val="footnote reference"/>
    <w:uiPriority w:val="99"/>
    <w:rsid w:val="00D02F72"/>
    <w:rPr>
      <w:vertAlign w:val="superscript"/>
    </w:rPr>
  </w:style>
  <w:style w:type="paragraph" w:styleId="Header">
    <w:name w:val="header"/>
    <w:basedOn w:val="Normal"/>
    <w:link w:val="HeaderChar"/>
    <w:uiPriority w:val="99"/>
    <w:unhideWhenUsed/>
    <w:rsid w:val="00D02F72"/>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02F72"/>
    <w:rPr>
      <w:rFonts w:ascii="Calibri" w:eastAsia="Calibri" w:hAnsi="Calibri" w:cs="Times New Roman"/>
    </w:rPr>
  </w:style>
  <w:style w:type="paragraph" w:styleId="Footer">
    <w:name w:val="footer"/>
    <w:basedOn w:val="Normal"/>
    <w:link w:val="FooterChar"/>
    <w:uiPriority w:val="99"/>
    <w:unhideWhenUsed/>
    <w:rsid w:val="00D02F72"/>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D02F72"/>
    <w:rPr>
      <w:rFonts w:ascii="Calibri" w:eastAsia="Calibri" w:hAnsi="Calibri" w:cs="Times New Roman"/>
    </w:rPr>
  </w:style>
  <w:style w:type="paragraph" w:styleId="NormalWeb">
    <w:name w:val="Normal (Web)"/>
    <w:basedOn w:val="Normal"/>
    <w:uiPriority w:val="99"/>
    <w:semiHidden/>
    <w:unhideWhenUsed/>
    <w:rsid w:val="00D02F72"/>
    <w:rPr>
      <w:rFonts w:ascii="Times New Roman" w:eastAsia="Calibri" w:hAnsi="Times New Roman" w:cs="Times New Roman"/>
      <w:sz w:val="24"/>
      <w:szCs w:val="24"/>
    </w:rPr>
  </w:style>
  <w:style w:type="table" w:styleId="TableGrid">
    <w:name w:val="Table Grid"/>
    <w:basedOn w:val="TableNormal"/>
    <w:uiPriority w:val="59"/>
    <w:rsid w:val="00D02F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D02F72"/>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BodyText">
    <w:name w:val="Body Text"/>
    <w:basedOn w:val="Normal"/>
    <w:link w:val="BodyTextChar"/>
    <w:uiPriority w:val="99"/>
    <w:unhideWhenUsed/>
    <w:rsid w:val="00D02F72"/>
    <w:pPr>
      <w:spacing w:line="300" w:lineRule="exact"/>
      <w:jc w:val="both"/>
    </w:pPr>
    <w:rPr>
      <w:rFonts w:ascii="Arial" w:eastAsia="Calibri" w:hAnsi="Arial" w:cs="Arial"/>
      <w:lang w:val="mk-MK"/>
    </w:rPr>
  </w:style>
  <w:style w:type="character" w:customStyle="1" w:styleId="BodyTextChar">
    <w:name w:val="Body Text Char"/>
    <w:basedOn w:val="DefaultParagraphFont"/>
    <w:link w:val="BodyText"/>
    <w:uiPriority w:val="99"/>
    <w:rsid w:val="00D02F72"/>
    <w:rPr>
      <w:rFonts w:ascii="Arial" w:eastAsia="Calibri" w:hAnsi="Arial" w:cs="Arial"/>
      <w:lang w:val="mk-MK"/>
    </w:rPr>
  </w:style>
  <w:style w:type="table" w:customStyle="1" w:styleId="TableGrid1">
    <w:name w:val="Table Grid1"/>
    <w:basedOn w:val="TableNormal"/>
    <w:next w:val="TableGrid"/>
    <w:uiPriority w:val="59"/>
    <w:rsid w:val="00D02F7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D02F72"/>
    <w:pPr>
      <w:keepLines/>
      <w:numPr>
        <w:numId w:val="0"/>
      </w:numPr>
      <w:tabs>
        <w:tab w:val="clear" w:pos="1134"/>
      </w:tabs>
      <w:spacing w:before="480" w:after="0" w:line="276" w:lineRule="auto"/>
      <w:outlineLvl w:val="9"/>
    </w:pPr>
    <w:rPr>
      <w:rFonts w:ascii="LuzSans-Book" w:eastAsiaTheme="majorEastAsia" w:hAnsi="LuzSans-Book" w:cstheme="majorBidi"/>
      <w:caps w:val="0"/>
      <w:color w:val="365F91" w:themeColor="accent1" w:themeShade="BF"/>
      <w:kern w:val="0"/>
      <w:lang w:val="en-US" w:eastAsia="ja-JP"/>
    </w:rPr>
  </w:style>
  <w:style w:type="paragraph" w:customStyle="1" w:styleId="TableHeadings">
    <w:name w:val="Table Headings"/>
    <w:basedOn w:val="Normal"/>
    <w:uiPriority w:val="99"/>
    <w:rsid w:val="00D02F72"/>
    <w:pPr>
      <w:keepNext/>
      <w:keepLines/>
      <w:spacing w:before="40" w:after="40" w:line="240" w:lineRule="auto"/>
    </w:pPr>
    <w:rPr>
      <w:rFonts w:ascii="Gill Sans Std Light" w:eastAsia="Times New Roman" w:hAnsi="Gill Sans Std Light" w:cs="Gill Sans Std Light"/>
      <w:b/>
      <w:bCs/>
      <w:sz w:val="18"/>
      <w:szCs w:val="18"/>
    </w:rPr>
  </w:style>
  <w:style w:type="paragraph" w:customStyle="1" w:styleId="TableText">
    <w:name w:val="Table Text"/>
    <w:rsid w:val="00D02F72"/>
    <w:pPr>
      <w:keepNext/>
      <w:keepLines/>
      <w:spacing w:before="40" w:after="40" w:line="240" w:lineRule="auto"/>
    </w:pPr>
    <w:rPr>
      <w:rFonts w:ascii="Gill Sans Std Light" w:eastAsia="Times New Roman" w:hAnsi="Gill Sans Std Light" w:cs="Gill Sans Std Light"/>
      <w:sz w:val="18"/>
      <w:szCs w:val="18"/>
    </w:rPr>
  </w:style>
  <w:style w:type="character" w:customStyle="1" w:styleId="apple-style-span">
    <w:name w:val="apple-style-span"/>
    <w:uiPriority w:val="99"/>
    <w:rsid w:val="00D02F72"/>
    <w:rPr>
      <w:rFonts w:cs="Times New Roman"/>
    </w:rPr>
  </w:style>
  <w:style w:type="table" w:styleId="LightGrid-Accent1">
    <w:name w:val="Light Grid Accent 1"/>
    <w:basedOn w:val="TableNormal"/>
    <w:uiPriority w:val="62"/>
    <w:rsid w:val="00D02F72"/>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3">
    <w:name w:val="Medium Shading 1 Accent 3"/>
    <w:basedOn w:val="TableNormal"/>
    <w:uiPriority w:val="63"/>
    <w:rsid w:val="00D02F7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NoList11">
    <w:name w:val="No List11"/>
    <w:next w:val="NoList"/>
    <w:uiPriority w:val="99"/>
    <w:semiHidden/>
    <w:unhideWhenUsed/>
    <w:rsid w:val="00D02F72"/>
  </w:style>
  <w:style w:type="table" w:customStyle="1" w:styleId="TableGrid2">
    <w:name w:val="Table Grid2"/>
    <w:basedOn w:val="TableNormal"/>
    <w:next w:val="TableGrid"/>
    <w:uiPriority w:val="59"/>
    <w:rsid w:val="00D02F72"/>
    <w:pPr>
      <w:spacing w:after="0" w:line="240" w:lineRule="auto"/>
    </w:pPr>
    <w:rPr>
      <w:rFonts w:ascii="Calibri" w:eastAsia="Calibri" w:hAnsi="Calibri" w:cs="Times New Roman"/>
      <w:sz w:val="20"/>
      <w:szCs w:val="20"/>
      <w:lang w:val="mk-MK"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D02F72"/>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lockText">
    <w:name w:val="Block Text"/>
    <w:basedOn w:val="Normal"/>
    <w:uiPriority w:val="99"/>
    <w:unhideWhenUsed/>
    <w:rsid w:val="00D02F72"/>
    <w:pPr>
      <w:spacing w:after="120"/>
      <w:ind w:left="1440" w:right="1440"/>
    </w:pPr>
    <w:rPr>
      <w:rFonts w:ascii="Arial" w:eastAsia="Calibri" w:hAnsi="Arial" w:cs="Arial"/>
      <w:lang w:val="mk-MK"/>
    </w:rPr>
  </w:style>
  <w:style w:type="paragraph" w:styleId="Caption">
    <w:name w:val="caption"/>
    <w:basedOn w:val="Normal"/>
    <w:next w:val="Normal"/>
    <w:uiPriority w:val="35"/>
    <w:unhideWhenUsed/>
    <w:qFormat/>
    <w:rsid w:val="00D02F72"/>
    <w:pPr>
      <w:spacing w:line="240" w:lineRule="auto"/>
    </w:pPr>
    <w:rPr>
      <w:rFonts w:ascii="LuzSans-Book" w:hAnsi="LuzSans-Book"/>
      <w:bCs/>
      <w:sz w:val="20"/>
      <w:szCs w:val="18"/>
      <w:lang w:val="mk-MK"/>
    </w:rPr>
  </w:style>
  <w:style w:type="character" w:styleId="CommentReference">
    <w:name w:val="annotation reference"/>
    <w:uiPriority w:val="99"/>
    <w:semiHidden/>
    <w:unhideWhenUsed/>
    <w:rsid w:val="00D02F72"/>
    <w:rPr>
      <w:sz w:val="16"/>
      <w:szCs w:val="16"/>
    </w:rPr>
  </w:style>
  <w:style w:type="paragraph" w:styleId="CommentText">
    <w:name w:val="annotation text"/>
    <w:basedOn w:val="Normal"/>
    <w:link w:val="CommentTextChar"/>
    <w:uiPriority w:val="99"/>
    <w:semiHidden/>
    <w:unhideWhenUsed/>
    <w:rsid w:val="00D02F72"/>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02F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2F72"/>
    <w:rPr>
      <w:b/>
      <w:bCs/>
    </w:rPr>
  </w:style>
  <w:style w:type="character" w:customStyle="1" w:styleId="CommentSubjectChar">
    <w:name w:val="Comment Subject Char"/>
    <w:basedOn w:val="CommentTextChar"/>
    <w:link w:val="CommentSubject"/>
    <w:uiPriority w:val="99"/>
    <w:semiHidden/>
    <w:rsid w:val="00D02F72"/>
    <w:rPr>
      <w:rFonts w:ascii="Calibri" w:eastAsia="Calibri" w:hAnsi="Calibri" w:cs="Times New Roman"/>
      <w:b/>
      <w:bCs/>
      <w:sz w:val="20"/>
      <w:szCs w:val="20"/>
    </w:rPr>
  </w:style>
  <w:style w:type="paragraph" w:styleId="Date">
    <w:name w:val="Date"/>
    <w:basedOn w:val="Normal"/>
    <w:next w:val="Normal"/>
    <w:link w:val="DateChar"/>
    <w:uiPriority w:val="99"/>
    <w:unhideWhenUsed/>
    <w:rsid w:val="00D02F72"/>
    <w:pPr>
      <w:spacing w:after="600" w:line="240" w:lineRule="auto"/>
      <w:jc w:val="center"/>
    </w:pPr>
    <w:rPr>
      <w:rFonts w:ascii="Arial Black" w:eastAsia="Calibri" w:hAnsi="Arial Black" w:cs="Times New Roman"/>
      <w:sz w:val="28"/>
      <w:lang w:val="mk-MK"/>
    </w:rPr>
  </w:style>
  <w:style w:type="character" w:customStyle="1" w:styleId="DateChar">
    <w:name w:val="Date Char"/>
    <w:basedOn w:val="DefaultParagraphFont"/>
    <w:link w:val="Date"/>
    <w:uiPriority w:val="99"/>
    <w:rsid w:val="00D02F72"/>
    <w:rPr>
      <w:rFonts w:ascii="Arial Black" w:eastAsia="Calibri" w:hAnsi="Arial Black" w:cs="Times New Roman"/>
      <w:sz w:val="28"/>
      <w:lang w:val="mk-MK"/>
    </w:rPr>
  </w:style>
  <w:style w:type="paragraph" w:customStyle="1" w:styleId="Default">
    <w:name w:val="Default"/>
    <w:rsid w:val="00D02F7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ightList-Accent3">
    <w:name w:val="Light List Accent 3"/>
    <w:basedOn w:val="TableNormal"/>
    <w:uiPriority w:val="61"/>
    <w:rsid w:val="00D02F72"/>
    <w:pPr>
      <w:spacing w:after="0" w:line="240" w:lineRule="auto"/>
    </w:pPr>
    <w:rPr>
      <w:rFonts w:ascii="Calibri" w:eastAsia="Calibri" w:hAnsi="Calibri"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D02F72"/>
    <w:pPr>
      <w:spacing w:after="0" w:line="240" w:lineRule="auto"/>
    </w:pPr>
    <w:rPr>
      <w:rFonts w:ascii="Calibri" w:eastAsia="Calibri" w:hAnsi="Calibri"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Bullet">
    <w:name w:val="List Bullet"/>
    <w:basedOn w:val="Normal"/>
    <w:uiPriority w:val="99"/>
    <w:unhideWhenUsed/>
    <w:rsid w:val="00D02F72"/>
    <w:pPr>
      <w:numPr>
        <w:numId w:val="3"/>
      </w:numPr>
      <w:tabs>
        <w:tab w:val="left" w:pos="567"/>
      </w:tabs>
      <w:spacing w:before="200" w:line="300" w:lineRule="exact"/>
      <w:ind w:left="567" w:hanging="567"/>
      <w:contextualSpacing/>
    </w:pPr>
    <w:rPr>
      <w:rFonts w:ascii="Arial" w:eastAsia="Calibri" w:hAnsi="Arial" w:cs="Arial"/>
      <w:lang w:val="mk-MK" w:eastAsia="en-GB"/>
    </w:rPr>
  </w:style>
  <w:style w:type="paragraph" w:styleId="ListBullet2">
    <w:name w:val="List Bullet 2"/>
    <w:basedOn w:val="Normal"/>
    <w:autoRedefine/>
    <w:uiPriority w:val="99"/>
    <w:unhideWhenUsed/>
    <w:rsid w:val="00D02F72"/>
    <w:pPr>
      <w:numPr>
        <w:numId w:val="4"/>
      </w:numPr>
      <w:spacing w:line="300" w:lineRule="exact"/>
      <w:ind w:left="851" w:hanging="284"/>
      <w:contextualSpacing/>
    </w:pPr>
    <w:rPr>
      <w:rFonts w:ascii="Arial" w:hAnsi="Arial" w:cs="Arial"/>
      <w:lang w:val="mk-MK" w:eastAsia="en-GB"/>
    </w:rPr>
  </w:style>
  <w:style w:type="paragraph" w:styleId="ListBullet3">
    <w:name w:val="List Bullet 3"/>
    <w:basedOn w:val="Normal"/>
    <w:autoRedefine/>
    <w:uiPriority w:val="99"/>
    <w:unhideWhenUsed/>
    <w:rsid w:val="00D02F72"/>
    <w:pPr>
      <w:numPr>
        <w:numId w:val="5"/>
      </w:numPr>
      <w:spacing w:line="300" w:lineRule="exact"/>
      <w:contextualSpacing/>
    </w:pPr>
    <w:rPr>
      <w:rFonts w:ascii="Arial" w:eastAsia="Calibri" w:hAnsi="Arial" w:cs="Times New Roman"/>
    </w:rPr>
  </w:style>
  <w:style w:type="paragraph" w:styleId="ListNumber">
    <w:name w:val="List Number"/>
    <w:basedOn w:val="Normal"/>
    <w:uiPriority w:val="99"/>
    <w:unhideWhenUsed/>
    <w:rsid w:val="00D02F72"/>
    <w:pPr>
      <w:numPr>
        <w:numId w:val="1"/>
      </w:numPr>
      <w:autoSpaceDE w:val="0"/>
      <w:autoSpaceDN w:val="0"/>
      <w:adjustRightInd w:val="0"/>
      <w:spacing w:line="240" w:lineRule="auto"/>
      <w:contextualSpacing/>
      <w:jc w:val="both"/>
    </w:pPr>
    <w:rPr>
      <w:rFonts w:ascii="Arial" w:eastAsia="TradeGothic-Light" w:hAnsi="Arial" w:cs="Arial"/>
      <w:lang w:val="mk-MK"/>
    </w:rPr>
  </w:style>
  <w:style w:type="table" w:styleId="MediumShading2-Accent3">
    <w:name w:val="Medium Shading 2 Accent 3"/>
    <w:basedOn w:val="TableNormal"/>
    <w:uiPriority w:val="64"/>
    <w:rsid w:val="00D02F72"/>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D02F72"/>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D02F72"/>
    <w:rPr>
      <w:rFonts w:ascii="Calibri" w:eastAsia="MS Mincho" w:hAnsi="Calibri" w:cs="Arial"/>
      <w:lang w:eastAsia="ja-JP"/>
    </w:rPr>
  </w:style>
  <w:style w:type="paragraph" w:styleId="NoteHeading">
    <w:name w:val="Note Heading"/>
    <w:basedOn w:val="Normal"/>
    <w:next w:val="Normal"/>
    <w:link w:val="NoteHeadingChar"/>
    <w:uiPriority w:val="99"/>
    <w:unhideWhenUsed/>
    <w:rsid w:val="00D02F72"/>
    <w:pPr>
      <w:spacing w:after="0" w:line="240" w:lineRule="auto"/>
    </w:pPr>
    <w:rPr>
      <w:rFonts w:ascii="Calibri" w:eastAsia="Calibri" w:hAnsi="Calibri" w:cs="Times New Roman"/>
    </w:rPr>
  </w:style>
  <w:style w:type="character" w:customStyle="1" w:styleId="NoteHeadingChar">
    <w:name w:val="Note Heading Char"/>
    <w:basedOn w:val="DefaultParagraphFont"/>
    <w:link w:val="NoteHeading"/>
    <w:uiPriority w:val="99"/>
    <w:rsid w:val="00D02F72"/>
    <w:rPr>
      <w:rFonts w:ascii="Calibri" w:eastAsia="Calibri" w:hAnsi="Calibri" w:cs="Times New Roman"/>
    </w:rPr>
  </w:style>
  <w:style w:type="paragraph" w:customStyle="1" w:styleId="Slika">
    <w:name w:val="Slika"/>
    <w:basedOn w:val="BodyText"/>
    <w:qFormat/>
    <w:rsid w:val="00D02F72"/>
    <w:pPr>
      <w:spacing w:before="120" w:after="120" w:line="360" w:lineRule="auto"/>
      <w:jc w:val="right"/>
    </w:pPr>
    <w:rPr>
      <w:rFonts w:ascii="Times New Roman" w:eastAsiaTheme="minorHAnsi" w:hAnsi="Times New Roman" w:cstheme="minorBidi"/>
      <w:noProof/>
      <w:sz w:val="24"/>
      <w:szCs w:val="24"/>
      <w:lang w:val="en-US"/>
    </w:rPr>
  </w:style>
  <w:style w:type="paragraph" w:customStyle="1" w:styleId="TabelaNaslov">
    <w:name w:val="Tabela_Naslov"/>
    <w:basedOn w:val="BodyText"/>
    <w:autoRedefine/>
    <w:qFormat/>
    <w:rsid w:val="00D02F72"/>
    <w:pPr>
      <w:keepNext/>
      <w:numPr>
        <w:numId w:val="6"/>
      </w:numPr>
      <w:tabs>
        <w:tab w:val="left" w:pos="1701"/>
      </w:tabs>
      <w:spacing w:before="120" w:after="120" w:line="240" w:lineRule="auto"/>
      <w:ind w:left="1701" w:right="567" w:hanging="1134"/>
      <w:jc w:val="left"/>
    </w:pPr>
    <w:rPr>
      <w:rFonts w:ascii="StobiSerifIt Regular" w:eastAsiaTheme="minorHAnsi" w:hAnsi="StobiSerifIt Regular" w:cstheme="minorBidi"/>
      <w:i/>
      <w:color w:val="4F6228" w:themeColor="accent3" w:themeShade="80"/>
      <w:lang w:eastAsia="en-GB"/>
    </w:rPr>
  </w:style>
  <w:style w:type="paragraph" w:customStyle="1" w:styleId="SlikaNaslov">
    <w:name w:val="Slika_Naslov"/>
    <w:basedOn w:val="TabelaNaslov"/>
    <w:qFormat/>
    <w:rsid w:val="00D02F72"/>
    <w:pPr>
      <w:numPr>
        <w:numId w:val="7"/>
      </w:numPr>
      <w:ind w:left="1701" w:hanging="1133"/>
    </w:pPr>
  </w:style>
  <w:style w:type="paragraph" w:styleId="Subtitle">
    <w:name w:val="Subtitle"/>
    <w:basedOn w:val="Normal"/>
    <w:next w:val="Normal"/>
    <w:link w:val="SubtitleChar"/>
    <w:uiPriority w:val="11"/>
    <w:qFormat/>
    <w:rsid w:val="00D02F72"/>
    <w:pPr>
      <w:spacing w:before="600" w:after="0" w:line="240" w:lineRule="auto"/>
      <w:jc w:val="center"/>
      <w:outlineLvl w:val="1"/>
    </w:pPr>
    <w:rPr>
      <w:rFonts w:ascii="Arial Black" w:eastAsia="Times New Roman" w:hAnsi="Arial Black" w:cs="Times New Roman"/>
      <w:sz w:val="40"/>
      <w:szCs w:val="24"/>
      <w:lang w:val="mk-MK"/>
    </w:rPr>
  </w:style>
  <w:style w:type="character" w:customStyle="1" w:styleId="SubtitleChar">
    <w:name w:val="Subtitle Char"/>
    <w:basedOn w:val="DefaultParagraphFont"/>
    <w:link w:val="Subtitle"/>
    <w:uiPriority w:val="11"/>
    <w:rsid w:val="00D02F72"/>
    <w:rPr>
      <w:rFonts w:ascii="Arial Black" w:eastAsia="Times New Roman" w:hAnsi="Arial Black" w:cs="Times New Roman"/>
      <w:sz w:val="40"/>
      <w:szCs w:val="24"/>
      <w:lang w:val="mk-MK"/>
    </w:rPr>
  </w:style>
  <w:style w:type="paragraph" w:customStyle="1" w:styleId="TableBullet">
    <w:name w:val="Table Bullet"/>
    <w:basedOn w:val="Normal"/>
    <w:qFormat/>
    <w:rsid w:val="00D02F72"/>
    <w:pPr>
      <w:numPr>
        <w:numId w:val="8"/>
      </w:numPr>
      <w:tabs>
        <w:tab w:val="left" w:pos="170"/>
      </w:tabs>
      <w:spacing w:after="0" w:line="240" w:lineRule="auto"/>
      <w:ind w:left="170" w:hanging="170"/>
    </w:pPr>
    <w:rPr>
      <w:rFonts w:ascii="Arial Narrow" w:eastAsia="Calibri" w:hAnsi="Arial Narrow" w:cs="Times New Roman"/>
      <w:color w:val="4F6228"/>
      <w:sz w:val="20"/>
      <w:szCs w:val="20"/>
      <w:lang w:val="mk-MK"/>
    </w:rPr>
  </w:style>
  <w:style w:type="paragraph" w:customStyle="1" w:styleId="TableTitle">
    <w:name w:val="Table Title"/>
    <w:basedOn w:val="BodyText"/>
    <w:qFormat/>
    <w:rsid w:val="00D02F72"/>
    <w:pPr>
      <w:keepNext/>
      <w:numPr>
        <w:numId w:val="9"/>
      </w:numPr>
      <w:tabs>
        <w:tab w:val="left" w:pos="1418"/>
      </w:tabs>
      <w:spacing w:before="200"/>
      <w:jc w:val="left"/>
    </w:pPr>
    <w:rPr>
      <w:color w:val="4F6228"/>
    </w:rPr>
  </w:style>
  <w:style w:type="paragraph" w:styleId="Title">
    <w:name w:val="Title"/>
    <w:basedOn w:val="Normal"/>
    <w:next w:val="Normal"/>
    <w:link w:val="TitleChar"/>
    <w:uiPriority w:val="10"/>
    <w:qFormat/>
    <w:rsid w:val="00D02F72"/>
    <w:pPr>
      <w:spacing w:before="5000" w:after="4000" w:line="360" w:lineRule="auto"/>
      <w:jc w:val="center"/>
      <w:outlineLvl w:val="0"/>
    </w:pPr>
    <w:rPr>
      <w:rFonts w:ascii="Arial Black" w:eastAsia="Times New Roman" w:hAnsi="Arial Black" w:cs="Times New Roman"/>
      <w:b/>
      <w:bCs/>
      <w:kern w:val="28"/>
      <w:sz w:val="48"/>
      <w:szCs w:val="32"/>
      <w:lang w:val="mk-MK"/>
    </w:rPr>
  </w:style>
  <w:style w:type="character" w:customStyle="1" w:styleId="TitleChar">
    <w:name w:val="Title Char"/>
    <w:basedOn w:val="DefaultParagraphFont"/>
    <w:link w:val="Title"/>
    <w:uiPriority w:val="10"/>
    <w:rsid w:val="00D02F72"/>
    <w:rPr>
      <w:rFonts w:ascii="Arial Black" w:eastAsia="Times New Roman" w:hAnsi="Arial Black" w:cs="Times New Roman"/>
      <w:b/>
      <w:bCs/>
      <w:kern w:val="28"/>
      <w:sz w:val="48"/>
      <w:szCs w:val="32"/>
      <w:lang w:val="mk-MK"/>
    </w:rPr>
  </w:style>
  <w:style w:type="paragraph" w:styleId="Revision">
    <w:name w:val="Revision"/>
    <w:hidden/>
    <w:uiPriority w:val="99"/>
    <w:semiHidden/>
    <w:rsid w:val="00D02F72"/>
    <w:pPr>
      <w:spacing w:after="0" w:line="240" w:lineRule="auto"/>
    </w:pPr>
    <w:rPr>
      <w:rFonts w:ascii="Calibri" w:eastAsia="Calibri" w:hAnsi="Calibri" w:cs="Times New Roman"/>
    </w:rPr>
  </w:style>
  <w:style w:type="table" w:styleId="LightGrid-Accent3">
    <w:name w:val="Light Grid Accent 3"/>
    <w:basedOn w:val="TableNormal"/>
    <w:uiPriority w:val="62"/>
    <w:rsid w:val="00D02F72"/>
    <w:pPr>
      <w:spacing w:after="0" w:line="240" w:lineRule="auto"/>
    </w:pPr>
    <w:rPr>
      <w:lang w:val="mk-M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FollowedHyperlink">
    <w:name w:val="FollowedHyperlink"/>
    <w:basedOn w:val="DefaultParagraphFont"/>
    <w:uiPriority w:val="99"/>
    <w:semiHidden/>
    <w:unhideWhenUsed/>
    <w:rsid w:val="00D02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4535</Words>
  <Characters>25850</Characters>
  <Application>Microsoft Office Word</Application>
  <DocSecurity>0</DocSecurity>
  <Lines>215</Lines>
  <Paragraphs>60</Paragraphs>
  <ScaleCrop>false</ScaleCrop>
  <Company>Grizli777</Company>
  <LinksUpToDate>false</LinksUpToDate>
  <CharactersWithSpaces>30325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Bogdanci 2</dc:creator>
  <cp:lastModifiedBy>Bogdanci 2</cp:lastModifiedBy>
  <cp:revision>1</cp:revision>
  <dcterms:created xsi:type="dcterms:W3CDTF">2014-07-08T06:39:00Z</dcterms:created>
  <dcterms:modified xsi:type="dcterms:W3CDTF">2014-07-08T06:42:00Z</dcterms:modified>
</cp:coreProperties>
</file>